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2DE0511" w14:textId="77777777" w:rsidR="003C7122" w:rsidRDefault="003C7122">
      <w:pPr>
        <w:widowControl w:val="0"/>
        <w:autoSpaceDE w:val="0"/>
        <w:autoSpaceDN w:val="0"/>
        <w:adjustRightInd w:val="0"/>
        <w:rPr>
          <w:color w:val="000000"/>
          <w:sz w:val="24"/>
          <w:szCs w:val="24"/>
        </w:rPr>
      </w:pPr>
      <w:bookmarkStart w:id="0" w:name="_GoBack"/>
      <w:bookmarkEnd w:id="0"/>
    </w:p>
    <w:p w14:paraId="6A752687" w14:textId="77777777" w:rsidR="003C7122" w:rsidRDefault="00D75BF9">
      <w:pPr>
        <w:widowControl w:val="0"/>
        <w:autoSpaceDE w:val="0"/>
        <w:autoSpaceDN w:val="0"/>
        <w:adjustRightInd w:val="0"/>
        <w:jc w:val="center"/>
        <w:rPr>
          <w:color w:val="000000"/>
          <w:sz w:val="24"/>
          <w:szCs w:val="24"/>
        </w:rPr>
      </w:pPr>
      <w:r>
        <w:rPr>
          <w:color w:val="000000"/>
        </w:rPr>
        <w:t>United States District Court,</w:t>
      </w:r>
    </w:p>
    <w:p w14:paraId="2B540294" w14:textId="77777777" w:rsidR="003C7122" w:rsidRDefault="00D75BF9">
      <w:pPr>
        <w:widowControl w:val="0"/>
        <w:autoSpaceDE w:val="0"/>
        <w:autoSpaceDN w:val="0"/>
        <w:adjustRightInd w:val="0"/>
        <w:jc w:val="center"/>
        <w:rPr>
          <w:color w:val="000000"/>
          <w:sz w:val="24"/>
          <w:szCs w:val="24"/>
        </w:rPr>
      </w:pPr>
      <w:r>
        <w:rPr>
          <w:color w:val="000000"/>
        </w:rPr>
        <w:t>E.D. New York.</w:t>
      </w:r>
    </w:p>
    <w:p w14:paraId="50F3B311" w14:textId="77777777" w:rsidR="003C7122" w:rsidRDefault="00D75BF9">
      <w:pPr>
        <w:widowControl w:val="0"/>
        <w:autoSpaceDE w:val="0"/>
        <w:autoSpaceDN w:val="0"/>
        <w:adjustRightInd w:val="0"/>
        <w:jc w:val="center"/>
        <w:rPr>
          <w:color w:val="000000"/>
          <w:sz w:val="24"/>
          <w:szCs w:val="24"/>
        </w:rPr>
      </w:pPr>
      <w:r>
        <w:rPr>
          <w:color w:val="000000"/>
        </w:rPr>
        <w:t>Karen GOLDBERG, Chana Goldberg, Esther Goldberg, Yitzhak Goldberg, Shoshana Goldberg, Eliezer Goldberg, Yaakov Moshe Goldberg and Tzvi Yehoshua Goldberg, Plaintiffs,</w:t>
      </w:r>
    </w:p>
    <w:p w14:paraId="30298212" w14:textId="77777777" w:rsidR="003C7122" w:rsidRDefault="00D75BF9">
      <w:pPr>
        <w:widowControl w:val="0"/>
        <w:autoSpaceDE w:val="0"/>
        <w:autoSpaceDN w:val="0"/>
        <w:adjustRightInd w:val="0"/>
        <w:jc w:val="center"/>
        <w:rPr>
          <w:color w:val="000000"/>
          <w:sz w:val="24"/>
          <w:szCs w:val="24"/>
        </w:rPr>
      </w:pPr>
      <w:proofErr w:type="gramStart"/>
      <w:r>
        <w:rPr>
          <w:color w:val="000000"/>
        </w:rPr>
        <w:t>v</w:t>
      </w:r>
      <w:proofErr w:type="gramEnd"/>
      <w:r>
        <w:rPr>
          <w:color w:val="000000"/>
        </w:rPr>
        <w:t>.</w:t>
      </w:r>
    </w:p>
    <w:p w14:paraId="436FBFC9" w14:textId="77777777" w:rsidR="003C7122" w:rsidRDefault="00D75BF9">
      <w:pPr>
        <w:widowControl w:val="0"/>
        <w:autoSpaceDE w:val="0"/>
        <w:autoSpaceDN w:val="0"/>
        <w:adjustRightInd w:val="0"/>
        <w:jc w:val="center"/>
        <w:rPr>
          <w:color w:val="000000"/>
          <w:sz w:val="24"/>
          <w:szCs w:val="24"/>
        </w:rPr>
      </w:pPr>
      <w:r>
        <w:rPr>
          <w:color w:val="000000"/>
        </w:rPr>
        <w:t>UBS AG, Defendant.</w:t>
      </w:r>
    </w:p>
    <w:p w14:paraId="311D544B" w14:textId="77777777" w:rsidR="003C7122" w:rsidRDefault="003C7122">
      <w:pPr>
        <w:widowControl w:val="0"/>
        <w:autoSpaceDE w:val="0"/>
        <w:autoSpaceDN w:val="0"/>
        <w:adjustRightInd w:val="0"/>
        <w:rPr>
          <w:color w:val="000000"/>
          <w:sz w:val="24"/>
          <w:szCs w:val="24"/>
        </w:rPr>
      </w:pPr>
    </w:p>
    <w:p w14:paraId="4D3785A8" w14:textId="77777777" w:rsidR="003C7122" w:rsidRDefault="00D75BF9">
      <w:pPr>
        <w:widowControl w:val="0"/>
        <w:autoSpaceDE w:val="0"/>
        <w:autoSpaceDN w:val="0"/>
        <w:adjustRightInd w:val="0"/>
        <w:jc w:val="center"/>
        <w:rPr>
          <w:color w:val="000000"/>
          <w:sz w:val="24"/>
          <w:szCs w:val="24"/>
        </w:rPr>
      </w:pPr>
      <w:proofErr w:type="gramStart"/>
      <w:r>
        <w:rPr>
          <w:color w:val="000000"/>
        </w:rPr>
        <w:t>Civil Action No.</w:t>
      </w:r>
      <w:proofErr w:type="gramEnd"/>
      <w:r>
        <w:rPr>
          <w:color w:val="000000"/>
        </w:rPr>
        <w:t xml:space="preserve"> CV-08-</w:t>
      </w:r>
      <w:proofErr w:type="gramStart"/>
      <w:r>
        <w:rPr>
          <w:color w:val="000000"/>
        </w:rPr>
        <w:t>375(</w:t>
      </w:r>
      <w:proofErr w:type="gramEnd"/>
      <w:r>
        <w:rPr>
          <w:color w:val="000000"/>
        </w:rPr>
        <w:t>DGT).</w:t>
      </w:r>
    </w:p>
    <w:p w14:paraId="660F51A6" w14:textId="77777777" w:rsidR="003C7122" w:rsidRDefault="00D75BF9">
      <w:pPr>
        <w:widowControl w:val="0"/>
        <w:autoSpaceDE w:val="0"/>
        <w:autoSpaceDN w:val="0"/>
        <w:adjustRightInd w:val="0"/>
        <w:jc w:val="center"/>
        <w:rPr>
          <w:color w:val="000000"/>
          <w:sz w:val="24"/>
          <w:szCs w:val="24"/>
        </w:rPr>
      </w:pPr>
      <w:r>
        <w:rPr>
          <w:color w:val="000000"/>
        </w:rPr>
        <w:t>March 5, 2010.</w:t>
      </w:r>
    </w:p>
    <w:p w14:paraId="74BC426A" w14:textId="77777777" w:rsidR="003C7122" w:rsidRDefault="003C7122">
      <w:pPr>
        <w:widowControl w:val="0"/>
        <w:autoSpaceDE w:val="0"/>
        <w:autoSpaceDN w:val="0"/>
        <w:adjustRightInd w:val="0"/>
        <w:rPr>
          <w:color w:val="000000"/>
          <w:sz w:val="24"/>
          <w:szCs w:val="24"/>
        </w:rPr>
      </w:pPr>
    </w:p>
    <w:p w14:paraId="754CD909" w14:textId="77777777" w:rsidR="003C7122" w:rsidRDefault="00D75BF9">
      <w:pPr>
        <w:widowControl w:val="0"/>
        <w:autoSpaceDE w:val="0"/>
        <w:autoSpaceDN w:val="0"/>
        <w:adjustRightInd w:val="0"/>
        <w:jc w:val="both"/>
        <w:rPr>
          <w:color w:val="000000"/>
          <w:sz w:val="24"/>
          <w:szCs w:val="24"/>
        </w:rPr>
      </w:pPr>
      <w:r>
        <w:rPr>
          <w:b/>
          <w:bCs/>
          <w:color w:val="000000"/>
        </w:rPr>
        <w:t>Background:</w:t>
      </w:r>
      <w:r>
        <w:rPr>
          <w:color w:val="000000"/>
        </w:rPr>
        <w:t xml:space="preserve"> Widow and children of Canadian citizen and Israeli resident killed in terrorist attack on Jerusalem bus brought action against international financial institution, under Anti-Terrorism Act (ATA), seeking to impose liabi</w:t>
      </w:r>
      <w:r>
        <w:rPr>
          <w:color w:val="000000"/>
        </w:rPr>
        <w:t>l</w:t>
      </w:r>
      <w:r>
        <w:rPr>
          <w:color w:val="000000"/>
        </w:rPr>
        <w:t>ity on institution for its alleged role in facilitating transfer of funds to terrorist group allegedly responsible for bom</w:t>
      </w:r>
      <w:r>
        <w:rPr>
          <w:color w:val="000000"/>
        </w:rPr>
        <w:t>b</w:t>
      </w:r>
      <w:r>
        <w:rPr>
          <w:color w:val="000000"/>
        </w:rPr>
        <w:t xml:space="preserve">ing. Institution moved to dismiss. The District Court, </w:t>
      </w:r>
      <w:hyperlink r:id="rId7" w:history="1">
        <w:r>
          <w:rPr>
            <w:color w:val="0000FF"/>
            <w:u w:val="single"/>
          </w:rPr>
          <w:t>Sifton</w:t>
        </w:r>
      </w:hyperlink>
      <w:r>
        <w:rPr>
          <w:color w:val="000000"/>
        </w:rPr>
        <w:t xml:space="preserve">, Senior District Judge, </w:t>
      </w:r>
      <w:hyperlink r:id="rId8" w:history="1">
        <w:r>
          <w:rPr>
            <w:color w:val="0000FF"/>
            <w:u w:val="single"/>
          </w:rPr>
          <w:t>660 F.Supp.2d 410,</w:t>
        </w:r>
      </w:hyperlink>
      <w:r>
        <w:rPr>
          <w:color w:val="000000"/>
        </w:rPr>
        <w:t xml:space="preserve"> granted in part and denied in part institution's motion to dismiss. Institution moved for reconsideration and to certify order for interlocutory appeal.</w:t>
      </w:r>
    </w:p>
    <w:p w14:paraId="202F2A47" w14:textId="77777777" w:rsidR="003C7122" w:rsidRDefault="003C7122">
      <w:pPr>
        <w:widowControl w:val="0"/>
        <w:autoSpaceDE w:val="0"/>
        <w:autoSpaceDN w:val="0"/>
        <w:adjustRightInd w:val="0"/>
        <w:rPr>
          <w:color w:val="000000"/>
          <w:sz w:val="24"/>
          <w:szCs w:val="24"/>
        </w:rPr>
      </w:pPr>
    </w:p>
    <w:p w14:paraId="4C75B0F2" w14:textId="77777777" w:rsidR="003C7122" w:rsidRDefault="00D75BF9">
      <w:pPr>
        <w:widowControl w:val="0"/>
        <w:autoSpaceDE w:val="0"/>
        <w:autoSpaceDN w:val="0"/>
        <w:adjustRightInd w:val="0"/>
        <w:jc w:val="both"/>
        <w:rPr>
          <w:color w:val="000000"/>
          <w:sz w:val="24"/>
          <w:szCs w:val="24"/>
        </w:rPr>
      </w:pPr>
      <w:r>
        <w:rPr>
          <w:b/>
          <w:bCs/>
          <w:color w:val="000000"/>
        </w:rPr>
        <w:t>Holdings:</w:t>
      </w:r>
      <w:r>
        <w:rPr>
          <w:color w:val="000000"/>
        </w:rPr>
        <w:t xml:space="preserve"> The District Court, </w:t>
      </w:r>
      <w:hyperlink r:id="rId9" w:history="1">
        <w:r>
          <w:rPr>
            <w:color w:val="0000FF"/>
            <w:u w:val="single"/>
          </w:rPr>
          <w:t>Trager</w:t>
        </w:r>
      </w:hyperlink>
      <w:r>
        <w:rPr>
          <w:color w:val="000000"/>
        </w:rPr>
        <w:t>, J., held that:</w:t>
      </w:r>
    </w:p>
    <w:p w14:paraId="5A1214DF" w14:textId="77777777" w:rsidR="003C7122" w:rsidRDefault="00D24980">
      <w:pPr>
        <w:widowControl w:val="0"/>
        <w:autoSpaceDE w:val="0"/>
        <w:autoSpaceDN w:val="0"/>
        <w:adjustRightInd w:val="0"/>
        <w:jc w:val="both"/>
        <w:rPr>
          <w:color w:val="000000"/>
          <w:sz w:val="24"/>
          <w:szCs w:val="24"/>
        </w:rPr>
      </w:pPr>
      <w:hyperlink w:anchor="Document1zzB12021482735" w:history="1">
        <w:r w:rsidR="00D75BF9">
          <w:rPr>
            <w:color w:val="0000FF"/>
            <w:u w:val="single"/>
          </w:rPr>
          <w:t>(1)</w:t>
        </w:r>
      </w:hyperlink>
      <w:r w:rsidR="00D75BF9">
        <w:rPr>
          <w:color w:val="000000"/>
        </w:rPr>
        <w:t xml:space="preserve"> </w:t>
      </w:r>
      <w:proofErr w:type="gramStart"/>
      <w:r w:rsidR="00D75BF9">
        <w:rPr>
          <w:color w:val="000000"/>
        </w:rPr>
        <w:t>institution</w:t>
      </w:r>
      <w:proofErr w:type="gramEnd"/>
      <w:r w:rsidR="00D75BF9">
        <w:rPr>
          <w:color w:val="000000"/>
        </w:rPr>
        <w:t xml:space="preserve"> waived its right to seek reconsideration of court's denial of dismissal based on forum non conveniens when it failed to raise argument during briefing;</w:t>
      </w:r>
    </w:p>
    <w:p w14:paraId="02B78A81" w14:textId="77777777" w:rsidR="003C7122" w:rsidRDefault="00D24980">
      <w:pPr>
        <w:widowControl w:val="0"/>
        <w:autoSpaceDE w:val="0"/>
        <w:autoSpaceDN w:val="0"/>
        <w:adjustRightInd w:val="0"/>
        <w:jc w:val="both"/>
        <w:rPr>
          <w:color w:val="000000"/>
          <w:sz w:val="24"/>
          <w:szCs w:val="24"/>
        </w:rPr>
      </w:pPr>
      <w:hyperlink w:anchor="Document1zzB32021482735" w:history="1">
        <w:r w:rsidR="00D75BF9">
          <w:rPr>
            <w:color w:val="0000FF"/>
            <w:u w:val="single"/>
          </w:rPr>
          <w:t>(2)</w:t>
        </w:r>
      </w:hyperlink>
      <w:r w:rsidR="00D75BF9">
        <w:rPr>
          <w:color w:val="000000"/>
        </w:rPr>
        <w:t xml:space="preserve"> </w:t>
      </w:r>
      <w:proofErr w:type="gramStart"/>
      <w:r w:rsidR="00D75BF9">
        <w:rPr>
          <w:color w:val="000000"/>
        </w:rPr>
        <w:t>absence</w:t>
      </w:r>
      <w:proofErr w:type="gramEnd"/>
      <w:r w:rsidR="00D75BF9">
        <w:rPr>
          <w:color w:val="000000"/>
        </w:rPr>
        <w:t xml:space="preserve"> of substantial ground for difference of opinion on meaning of term “substantially the same” in context of forum non conveniens provisions of ATA precluded certification of District Court's order interpreting term, as used in ATA, for interlocutory review;</w:t>
      </w:r>
    </w:p>
    <w:p w14:paraId="56492205" w14:textId="77777777" w:rsidR="003C7122" w:rsidRDefault="00D24980">
      <w:pPr>
        <w:widowControl w:val="0"/>
        <w:autoSpaceDE w:val="0"/>
        <w:autoSpaceDN w:val="0"/>
        <w:adjustRightInd w:val="0"/>
        <w:jc w:val="both"/>
        <w:rPr>
          <w:color w:val="000000"/>
          <w:sz w:val="24"/>
          <w:szCs w:val="24"/>
        </w:rPr>
      </w:pPr>
      <w:hyperlink w:anchor="Document1zzB52021482735" w:history="1">
        <w:r w:rsidR="00D75BF9">
          <w:rPr>
            <w:color w:val="0000FF"/>
            <w:u w:val="single"/>
          </w:rPr>
          <w:t>(3)</w:t>
        </w:r>
      </w:hyperlink>
      <w:r w:rsidR="00D75BF9">
        <w:rPr>
          <w:color w:val="000000"/>
        </w:rPr>
        <w:t xml:space="preserve"> </w:t>
      </w:r>
      <w:proofErr w:type="gramStart"/>
      <w:r w:rsidR="00D75BF9">
        <w:rPr>
          <w:color w:val="000000"/>
        </w:rPr>
        <w:t>sufficient</w:t>
      </w:r>
      <w:proofErr w:type="gramEnd"/>
      <w:r w:rsidR="00D75BF9">
        <w:rPr>
          <w:color w:val="000000"/>
        </w:rPr>
        <w:t xml:space="preserve"> causal nexus existed between United States and alleged off-shore conduct of international financial institution, and thus, certification of district court's order for interlocutory review to determine whether it was const</w:t>
      </w:r>
      <w:r w:rsidR="00D75BF9">
        <w:rPr>
          <w:color w:val="000000"/>
        </w:rPr>
        <w:t>i</w:t>
      </w:r>
      <w:r w:rsidR="00D75BF9">
        <w:rPr>
          <w:color w:val="000000"/>
        </w:rPr>
        <w:t>tutional to apply ATA to institution's alleged off-shore conduct was not appropriate; and</w:t>
      </w:r>
    </w:p>
    <w:p w14:paraId="4EAB0BA2" w14:textId="77777777" w:rsidR="003C7122" w:rsidRDefault="00D24980">
      <w:pPr>
        <w:widowControl w:val="0"/>
        <w:autoSpaceDE w:val="0"/>
        <w:autoSpaceDN w:val="0"/>
        <w:adjustRightInd w:val="0"/>
        <w:jc w:val="both"/>
        <w:rPr>
          <w:color w:val="000000"/>
          <w:sz w:val="24"/>
          <w:szCs w:val="24"/>
        </w:rPr>
      </w:pPr>
      <w:hyperlink w:anchor="Document1zzB72021482735" w:history="1">
        <w:r w:rsidR="00D75BF9">
          <w:rPr>
            <w:color w:val="0000FF"/>
            <w:u w:val="single"/>
          </w:rPr>
          <w:t>(4)</w:t>
        </w:r>
      </w:hyperlink>
      <w:r w:rsidR="00D75BF9">
        <w:rPr>
          <w:color w:val="000000"/>
        </w:rPr>
        <w:t xml:space="preserve"> </w:t>
      </w:r>
      <w:proofErr w:type="gramStart"/>
      <w:r w:rsidR="00D75BF9">
        <w:rPr>
          <w:color w:val="000000"/>
        </w:rPr>
        <w:t>violation</w:t>
      </w:r>
      <w:proofErr w:type="gramEnd"/>
      <w:r w:rsidR="00D75BF9">
        <w:rPr>
          <w:color w:val="000000"/>
        </w:rPr>
        <w:t xml:space="preserve"> of ATA provisions that made it crime to provide material support to terrorists and to designated foreign terrorist organizations satisfied “appears to be intended” prong of civil liability provision of ATA, and thus, certif</w:t>
      </w:r>
      <w:r w:rsidR="00D75BF9">
        <w:rPr>
          <w:color w:val="000000"/>
        </w:rPr>
        <w:t>i</w:t>
      </w:r>
      <w:r w:rsidR="00D75BF9">
        <w:rPr>
          <w:color w:val="000000"/>
        </w:rPr>
        <w:t>cation of District Court's order, concluding that ATA provision was satisfied, for interlocutory review was not a</w:t>
      </w:r>
      <w:r w:rsidR="00D75BF9">
        <w:rPr>
          <w:color w:val="000000"/>
        </w:rPr>
        <w:t>p</w:t>
      </w:r>
      <w:r w:rsidR="00D75BF9">
        <w:rPr>
          <w:color w:val="000000"/>
        </w:rPr>
        <w:t>propriate.</w:t>
      </w:r>
    </w:p>
    <w:p w14:paraId="12EA3353"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p>
    <w:p w14:paraId="3DBFB917" w14:textId="77777777" w:rsidR="003C7122" w:rsidRDefault="00D75BF9">
      <w:pPr>
        <w:widowControl w:val="0"/>
        <w:autoSpaceDE w:val="0"/>
        <w:autoSpaceDN w:val="0"/>
        <w:adjustRightInd w:val="0"/>
        <w:ind w:firstLine="360"/>
        <w:jc w:val="both"/>
        <w:rPr>
          <w:color w:val="000000"/>
          <w:sz w:val="24"/>
          <w:szCs w:val="24"/>
        </w:rPr>
      </w:pPr>
      <w:r>
        <w:rPr>
          <w:color w:val="000000"/>
        </w:rPr>
        <w:t>Motions denied.</w:t>
      </w:r>
    </w:p>
    <w:p w14:paraId="7F2C7B32" w14:textId="77777777" w:rsidR="003C7122" w:rsidRDefault="003C7122">
      <w:pPr>
        <w:widowControl w:val="0"/>
        <w:autoSpaceDE w:val="0"/>
        <w:autoSpaceDN w:val="0"/>
        <w:adjustRightInd w:val="0"/>
        <w:rPr>
          <w:color w:val="000000"/>
          <w:sz w:val="24"/>
          <w:szCs w:val="24"/>
        </w:rPr>
      </w:pPr>
    </w:p>
    <w:p w14:paraId="687F372E" w14:textId="77777777" w:rsidR="003C7122" w:rsidRDefault="00D75BF9">
      <w:pPr>
        <w:widowControl w:val="0"/>
        <w:autoSpaceDE w:val="0"/>
        <w:autoSpaceDN w:val="0"/>
        <w:adjustRightInd w:val="0"/>
        <w:jc w:val="center"/>
        <w:rPr>
          <w:color w:val="000000"/>
          <w:sz w:val="24"/>
          <w:szCs w:val="24"/>
        </w:rPr>
      </w:pPr>
      <w:r>
        <w:rPr>
          <w:color w:val="000000"/>
        </w:rPr>
        <w:t>West Headnotes</w:t>
      </w:r>
    </w:p>
    <w:p w14:paraId="7374D007" w14:textId="77777777" w:rsidR="003C7122" w:rsidRDefault="003C7122">
      <w:pPr>
        <w:widowControl w:val="0"/>
        <w:autoSpaceDE w:val="0"/>
        <w:autoSpaceDN w:val="0"/>
        <w:adjustRightInd w:val="0"/>
        <w:rPr>
          <w:color w:val="000000"/>
          <w:sz w:val="24"/>
          <w:szCs w:val="24"/>
        </w:rPr>
      </w:pPr>
    </w:p>
    <w:p w14:paraId="635D8118" w14:textId="77777777" w:rsidR="003C7122" w:rsidRDefault="00D24980">
      <w:pPr>
        <w:widowControl w:val="0"/>
        <w:autoSpaceDE w:val="0"/>
        <w:autoSpaceDN w:val="0"/>
        <w:adjustRightInd w:val="0"/>
        <w:jc w:val="both"/>
        <w:rPr>
          <w:color w:val="000000"/>
          <w:sz w:val="24"/>
          <w:szCs w:val="24"/>
        </w:rPr>
      </w:pPr>
      <w:hyperlink w:anchor="Document1zzB12021482735" w:history="1">
        <w:r w:rsidR="00D75BF9">
          <w:rPr>
            <w:b/>
            <w:bCs/>
            <w:color w:val="0000FF"/>
            <w:u w:val="single"/>
          </w:rPr>
          <w:t>[1]</w:t>
        </w:r>
      </w:hyperlink>
      <w:bookmarkStart w:id="1" w:name="Document1zzF12021482735"/>
      <w:bookmarkEnd w:id="1"/>
      <w:r w:rsidR="00D75BF9">
        <w:rPr>
          <w:b/>
          <w:bCs/>
          <w:color w:val="000000"/>
        </w:rPr>
        <w:t xml:space="preserve"> Federal Civil Procedure 170A </w:t>
      </w:r>
      <w:r w:rsidR="00D376E2">
        <w:rPr>
          <w:b/>
          <w:bCs/>
          <w:noProof/>
          <w:color w:val="000000"/>
        </w:rPr>
        <w:drawing>
          <wp:inline distT="0" distB="0" distL="0" distR="0" wp14:anchorId="65823D41" wp14:editId="5074C2C6">
            <wp:extent cx="258445" cy="12890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1840</w:t>
      </w:r>
    </w:p>
    <w:p w14:paraId="152E6CEF" w14:textId="77777777" w:rsidR="003C7122" w:rsidRDefault="003C7122">
      <w:pPr>
        <w:widowControl w:val="0"/>
        <w:autoSpaceDE w:val="0"/>
        <w:autoSpaceDN w:val="0"/>
        <w:adjustRightInd w:val="0"/>
        <w:rPr>
          <w:color w:val="000000"/>
          <w:sz w:val="24"/>
          <w:szCs w:val="24"/>
        </w:rPr>
      </w:pPr>
    </w:p>
    <w:p w14:paraId="3115BFED" w14:textId="77777777" w:rsidR="003C7122" w:rsidRDefault="00D24980">
      <w:pPr>
        <w:widowControl w:val="0"/>
        <w:autoSpaceDE w:val="0"/>
        <w:autoSpaceDN w:val="0"/>
        <w:adjustRightInd w:val="0"/>
        <w:jc w:val="both"/>
        <w:rPr>
          <w:color w:val="000000"/>
          <w:sz w:val="24"/>
          <w:szCs w:val="24"/>
        </w:rPr>
      </w:pPr>
      <w:hyperlink r:id="rId11" w:history="1">
        <w:r w:rsidR="00D75BF9">
          <w:rPr>
            <w:color w:val="0000FF"/>
            <w:u w:val="single"/>
          </w:rPr>
          <w:t>170A</w:t>
        </w:r>
      </w:hyperlink>
      <w:r w:rsidR="00D75BF9">
        <w:rPr>
          <w:color w:val="000000"/>
        </w:rPr>
        <w:t xml:space="preserve"> Federal Civil Procedure</w:t>
      </w:r>
    </w:p>
    <w:p w14:paraId="2A70BC4B"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2" w:history="1">
        <w:r>
          <w:rPr>
            <w:color w:val="0000FF"/>
            <w:u w:val="single"/>
          </w:rPr>
          <w:t>170AXI</w:t>
        </w:r>
      </w:hyperlink>
      <w:r>
        <w:rPr>
          <w:color w:val="000000"/>
        </w:rPr>
        <w:t xml:space="preserve"> Dismissal</w:t>
      </w:r>
    </w:p>
    <w:p w14:paraId="41F450E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3" w:history="1">
        <w:r>
          <w:rPr>
            <w:color w:val="0000FF"/>
            <w:u w:val="single"/>
          </w:rPr>
          <w:t>170AXI(B)</w:t>
        </w:r>
      </w:hyperlink>
      <w:r>
        <w:rPr>
          <w:color w:val="000000"/>
        </w:rPr>
        <w:t xml:space="preserve"> Involuntary Dismissal</w:t>
      </w:r>
    </w:p>
    <w:p w14:paraId="54CF9417"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4" w:history="1">
        <w:r>
          <w:rPr>
            <w:color w:val="0000FF"/>
            <w:u w:val="single"/>
          </w:rPr>
          <w:t>170AXI(</w:t>
        </w:r>
        <w:proofErr w:type="gramStart"/>
        <w:r>
          <w:rPr>
            <w:color w:val="0000FF"/>
            <w:u w:val="single"/>
          </w:rPr>
          <w:t>B)5</w:t>
        </w:r>
        <w:proofErr w:type="gramEnd"/>
      </w:hyperlink>
      <w:r>
        <w:rPr>
          <w:color w:val="000000"/>
        </w:rPr>
        <w:t xml:space="preserve"> Proceedings</w:t>
      </w:r>
    </w:p>
    <w:p w14:paraId="3A7113B7"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5" w:history="1">
        <w:r>
          <w:rPr>
            <w:color w:val="0000FF"/>
            <w:u w:val="single"/>
          </w:rPr>
          <w:t>170Ak1839</w:t>
        </w:r>
      </w:hyperlink>
      <w:r>
        <w:rPr>
          <w:color w:val="000000"/>
        </w:rPr>
        <w:t xml:space="preserve"> Vacation</w:t>
      </w:r>
    </w:p>
    <w:p w14:paraId="1F0E39C3"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6" w:history="1">
        <w:proofErr w:type="gramStart"/>
        <w:r>
          <w:rPr>
            <w:color w:val="0000FF"/>
            <w:u w:val="single"/>
          </w:rPr>
          <w:t>170Ak1840</w:t>
        </w:r>
      </w:hyperlink>
      <w:r>
        <w:rPr>
          <w:color w:val="000000"/>
        </w:rPr>
        <w:t xml:space="preserve"> k. Grounds and objections.</w:t>
      </w:r>
      <w:proofErr w:type="gramEnd"/>
      <w:r>
        <w:rPr>
          <w:color w:val="000000"/>
        </w:rPr>
        <w:t xml:space="preserve"> </w:t>
      </w:r>
      <w:hyperlink r:id="rId17" w:history="1">
        <w:r>
          <w:rPr>
            <w:color w:val="0000FF"/>
            <w:u w:val="single"/>
          </w:rPr>
          <w:t>Most Cited Cases</w:t>
        </w:r>
      </w:hyperlink>
      <w:r>
        <w:rPr>
          <w:color w:val="000000"/>
        </w:rPr>
        <w:t xml:space="preserve"> </w:t>
      </w:r>
    </w:p>
    <w:p w14:paraId="7FCA9EFD" w14:textId="77777777" w:rsidR="003C7122" w:rsidRDefault="003C7122">
      <w:pPr>
        <w:widowControl w:val="0"/>
        <w:autoSpaceDE w:val="0"/>
        <w:autoSpaceDN w:val="0"/>
        <w:adjustRightInd w:val="0"/>
        <w:jc w:val="both"/>
        <w:rPr>
          <w:color w:val="000000"/>
          <w:sz w:val="24"/>
          <w:szCs w:val="24"/>
        </w:rPr>
      </w:pPr>
      <w:bookmarkStart w:id="2" w:name="Document1zzI1c60d5d2913011df9b8c85033233"/>
      <w:bookmarkEnd w:id="2"/>
    </w:p>
    <w:p w14:paraId="1B42561C"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International financial institution waived its right to seek reconsideration of court's denial of dismissal, on ground of forum non conveniens and conditioned on institution's agreement to have Israeli court determine and award damages for solatium or loss of consortium, of action brought by widow and children of Canadian citizen and Israeli resident killed in terrorist attack on Jerusalem bus against institution, seeking to impose liability on institution for its alleged role in facilitating transfer of funds to terrorist group allegedly responsible for bombing, where it </w:t>
      </w:r>
      <w:r>
        <w:rPr>
          <w:color w:val="000000"/>
        </w:rPr>
        <w:lastRenderedPageBreak/>
        <w:t>failed to raise argument during briefing of its motion to dismiss.</w:t>
      </w:r>
    </w:p>
    <w:p w14:paraId="5AEE2FEF" w14:textId="77777777" w:rsidR="003C7122" w:rsidRDefault="003C7122">
      <w:pPr>
        <w:widowControl w:val="0"/>
        <w:autoSpaceDE w:val="0"/>
        <w:autoSpaceDN w:val="0"/>
        <w:adjustRightInd w:val="0"/>
        <w:rPr>
          <w:color w:val="000000"/>
          <w:sz w:val="24"/>
          <w:szCs w:val="24"/>
        </w:rPr>
      </w:pPr>
    </w:p>
    <w:p w14:paraId="7EB1D3C3" w14:textId="77777777" w:rsidR="003C7122" w:rsidRDefault="00D24980">
      <w:pPr>
        <w:widowControl w:val="0"/>
        <w:autoSpaceDE w:val="0"/>
        <w:autoSpaceDN w:val="0"/>
        <w:adjustRightInd w:val="0"/>
        <w:jc w:val="both"/>
        <w:rPr>
          <w:color w:val="000000"/>
          <w:sz w:val="24"/>
          <w:szCs w:val="24"/>
        </w:rPr>
      </w:pPr>
      <w:hyperlink w:anchor="Document1zzB22021482735" w:history="1">
        <w:r w:rsidR="00D75BF9">
          <w:rPr>
            <w:b/>
            <w:bCs/>
            <w:color w:val="0000FF"/>
            <w:u w:val="single"/>
          </w:rPr>
          <w:t>[2]</w:t>
        </w:r>
      </w:hyperlink>
      <w:bookmarkStart w:id="3" w:name="Document1zzF22021482735"/>
      <w:bookmarkEnd w:id="3"/>
      <w:r w:rsidR="00D75BF9">
        <w:rPr>
          <w:b/>
          <w:bCs/>
          <w:color w:val="000000"/>
        </w:rPr>
        <w:t xml:space="preserve"> Federal Courts 170B </w:t>
      </w:r>
      <w:r w:rsidR="00D376E2">
        <w:rPr>
          <w:b/>
          <w:bCs/>
          <w:noProof/>
          <w:color w:val="000000"/>
        </w:rPr>
        <w:drawing>
          <wp:inline distT="0" distB="0" distL="0" distR="0" wp14:anchorId="2A610FCE" wp14:editId="68A81E8F">
            <wp:extent cx="258445" cy="128905"/>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660.1</w:t>
      </w:r>
    </w:p>
    <w:p w14:paraId="0715EE48" w14:textId="77777777" w:rsidR="003C7122" w:rsidRDefault="003C7122">
      <w:pPr>
        <w:widowControl w:val="0"/>
        <w:autoSpaceDE w:val="0"/>
        <w:autoSpaceDN w:val="0"/>
        <w:adjustRightInd w:val="0"/>
        <w:rPr>
          <w:color w:val="000000"/>
          <w:sz w:val="24"/>
          <w:szCs w:val="24"/>
        </w:rPr>
      </w:pPr>
    </w:p>
    <w:p w14:paraId="6F62FF2B" w14:textId="77777777" w:rsidR="003C7122" w:rsidRDefault="00D24980">
      <w:pPr>
        <w:widowControl w:val="0"/>
        <w:autoSpaceDE w:val="0"/>
        <w:autoSpaceDN w:val="0"/>
        <w:adjustRightInd w:val="0"/>
        <w:jc w:val="both"/>
        <w:rPr>
          <w:color w:val="000000"/>
          <w:sz w:val="24"/>
          <w:szCs w:val="24"/>
        </w:rPr>
      </w:pPr>
      <w:hyperlink r:id="rId18" w:history="1">
        <w:r w:rsidR="00D75BF9">
          <w:rPr>
            <w:color w:val="0000FF"/>
            <w:u w:val="single"/>
          </w:rPr>
          <w:t>170B</w:t>
        </w:r>
      </w:hyperlink>
      <w:r w:rsidR="00D75BF9">
        <w:rPr>
          <w:color w:val="000000"/>
        </w:rPr>
        <w:t xml:space="preserve"> Federal Courts</w:t>
      </w:r>
    </w:p>
    <w:p w14:paraId="43E40B9B"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19" w:history="1">
        <w:r>
          <w:rPr>
            <w:color w:val="0000FF"/>
            <w:u w:val="single"/>
          </w:rPr>
          <w:t>170BVIII</w:t>
        </w:r>
      </w:hyperlink>
      <w:r>
        <w:rPr>
          <w:color w:val="000000"/>
        </w:rPr>
        <w:t xml:space="preserve"> Courts of Appeals</w:t>
      </w:r>
    </w:p>
    <w:p w14:paraId="1E9E243C"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0" w:history="1">
        <w:r>
          <w:rPr>
            <w:color w:val="0000FF"/>
            <w:u w:val="single"/>
          </w:rPr>
          <w:t>170BVIII(E)</w:t>
        </w:r>
      </w:hyperlink>
      <w:r>
        <w:rPr>
          <w:color w:val="000000"/>
        </w:rPr>
        <w:t xml:space="preserve"> Proceedings for Transfer of Case</w:t>
      </w:r>
    </w:p>
    <w:p w14:paraId="33E0CCFE"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1" w:history="1">
        <w:r>
          <w:rPr>
            <w:color w:val="0000FF"/>
            <w:u w:val="single"/>
          </w:rPr>
          <w:t>170Bk660</w:t>
        </w:r>
      </w:hyperlink>
      <w:r>
        <w:rPr>
          <w:color w:val="000000"/>
        </w:rPr>
        <w:t xml:space="preserve"> Certification and Leave to Appeal</w:t>
      </w:r>
    </w:p>
    <w:p w14:paraId="5224F2C8"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2" w:history="1">
        <w:r>
          <w:rPr>
            <w:color w:val="0000FF"/>
            <w:u w:val="single"/>
          </w:rPr>
          <w:t>170Bk660.1</w:t>
        </w:r>
      </w:hyperlink>
      <w:r>
        <w:rPr>
          <w:color w:val="000000"/>
        </w:rPr>
        <w:t xml:space="preserve"> k. </w:t>
      </w:r>
      <w:proofErr w:type="gramStart"/>
      <w:r>
        <w:rPr>
          <w:color w:val="000000"/>
        </w:rPr>
        <w:t>In general.</w:t>
      </w:r>
      <w:proofErr w:type="gramEnd"/>
      <w:r>
        <w:rPr>
          <w:color w:val="000000"/>
        </w:rPr>
        <w:t xml:space="preserve"> </w:t>
      </w:r>
      <w:hyperlink r:id="rId23" w:history="1">
        <w:r>
          <w:rPr>
            <w:color w:val="0000FF"/>
            <w:u w:val="single"/>
          </w:rPr>
          <w:t>Most Cited Cases</w:t>
        </w:r>
      </w:hyperlink>
      <w:r>
        <w:rPr>
          <w:color w:val="000000"/>
        </w:rPr>
        <w:t xml:space="preserve"> </w:t>
      </w:r>
    </w:p>
    <w:p w14:paraId="6E82B992" w14:textId="77777777" w:rsidR="003C7122" w:rsidRDefault="003C7122">
      <w:pPr>
        <w:widowControl w:val="0"/>
        <w:autoSpaceDE w:val="0"/>
        <w:autoSpaceDN w:val="0"/>
        <w:adjustRightInd w:val="0"/>
        <w:jc w:val="both"/>
        <w:rPr>
          <w:color w:val="000000"/>
          <w:sz w:val="24"/>
          <w:szCs w:val="24"/>
        </w:rPr>
      </w:pPr>
      <w:bookmarkStart w:id="4" w:name="Document1zzI1c60d5d4913011df9b8c85033233"/>
      <w:bookmarkEnd w:id="4"/>
    </w:p>
    <w:p w14:paraId="28160ADB"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A district court has the discretion to certify an order for interlocutory appeal if court is of opinion that: (1) the order involves a controlling question of law; (2) as to which there is substantial ground for difference of opinion; and (3) an immediate appeal of the order may materially advance the ultimate termination of the litigation. </w:t>
      </w:r>
      <w:hyperlink r:id="rId24" w:history="1">
        <w:proofErr w:type="gramStart"/>
        <w:r>
          <w:rPr>
            <w:color w:val="0000FF"/>
            <w:u w:val="single"/>
          </w:rPr>
          <w:t>28 U.S.C.A. § 1292(b)</w:t>
        </w:r>
      </w:hyperlink>
      <w:r>
        <w:rPr>
          <w:color w:val="000000"/>
        </w:rPr>
        <w:t>.</w:t>
      </w:r>
      <w:proofErr w:type="gramEnd"/>
    </w:p>
    <w:p w14:paraId="70AB2DED" w14:textId="77777777" w:rsidR="003C7122" w:rsidRDefault="003C7122">
      <w:pPr>
        <w:widowControl w:val="0"/>
        <w:autoSpaceDE w:val="0"/>
        <w:autoSpaceDN w:val="0"/>
        <w:adjustRightInd w:val="0"/>
        <w:rPr>
          <w:color w:val="000000"/>
          <w:sz w:val="24"/>
          <w:szCs w:val="24"/>
        </w:rPr>
      </w:pPr>
    </w:p>
    <w:p w14:paraId="720DCA0A" w14:textId="77777777" w:rsidR="003C7122" w:rsidRDefault="00D24980">
      <w:pPr>
        <w:widowControl w:val="0"/>
        <w:autoSpaceDE w:val="0"/>
        <w:autoSpaceDN w:val="0"/>
        <w:adjustRightInd w:val="0"/>
        <w:jc w:val="both"/>
        <w:rPr>
          <w:color w:val="000000"/>
          <w:sz w:val="24"/>
          <w:szCs w:val="24"/>
        </w:rPr>
      </w:pPr>
      <w:hyperlink w:anchor="Document1zzB32021482735" w:history="1">
        <w:r w:rsidR="00D75BF9">
          <w:rPr>
            <w:b/>
            <w:bCs/>
            <w:color w:val="0000FF"/>
            <w:u w:val="single"/>
          </w:rPr>
          <w:t>[3]</w:t>
        </w:r>
      </w:hyperlink>
      <w:bookmarkStart w:id="5" w:name="Document1zzF32021482735"/>
      <w:bookmarkEnd w:id="5"/>
      <w:r w:rsidR="00D75BF9">
        <w:rPr>
          <w:b/>
          <w:bCs/>
          <w:color w:val="000000"/>
        </w:rPr>
        <w:t xml:space="preserve"> Federal Courts 170B </w:t>
      </w:r>
      <w:r w:rsidR="00D376E2">
        <w:rPr>
          <w:b/>
          <w:bCs/>
          <w:noProof/>
          <w:color w:val="000000"/>
        </w:rPr>
        <w:drawing>
          <wp:inline distT="0" distB="0" distL="0" distR="0" wp14:anchorId="14A95428" wp14:editId="3F0E2DD7">
            <wp:extent cx="258445" cy="12890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160CE609" w14:textId="77777777" w:rsidR="003C7122" w:rsidRDefault="003C7122">
      <w:pPr>
        <w:widowControl w:val="0"/>
        <w:autoSpaceDE w:val="0"/>
        <w:autoSpaceDN w:val="0"/>
        <w:adjustRightInd w:val="0"/>
        <w:rPr>
          <w:color w:val="000000"/>
          <w:sz w:val="24"/>
          <w:szCs w:val="24"/>
        </w:rPr>
      </w:pPr>
    </w:p>
    <w:p w14:paraId="07E19940" w14:textId="77777777" w:rsidR="003C7122" w:rsidRDefault="00D24980">
      <w:pPr>
        <w:widowControl w:val="0"/>
        <w:autoSpaceDE w:val="0"/>
        <w:autoSpaceDN w:val="0"/>
        <w:adjustRightInd w:val="0"/>
        <w:jc w:val="both"/>
        <w:rPr>
          <w:color w:val="000000"/>
          <w:sz w:val="24"/>
          <w:szCs w:val="24"/>
        </w:rPr>
      </w:pPr>
      <w:hyperlink r:id="rId25" w:history="1">
        <w:r w:rsidR="00D75BF9">
          <w:rPr>
            <w:color w:val="0000FF"/>
            <w:u w:val="single"/>
          </w:rPr>
          <w:t>170B</w:t>
        </w:r>
      </w:hyperlink>
      <w:r w:rsidR="00D75BF9">
        <w:rPr>
          <w:color w:val="000000"/>
        </w:rPr>
        <w:t xml:space="preserve"> Federal Courts</w:t>
      </w:r>
    </w:p>
    <w:p w14:paraId="74C0E5A4"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6" w:history="1">
        <w:r>
          <w:rPr>
            <w:color w:val="0000FF"/>
            <w:u w:val="single"/>
          </w:rPr>
          <w:t>170BVIII</w:t>
        </w:r>
      </w:hyperlink>
      <w:r>
        <w:rPr>
          <w:color w:val="000000"/>
        </w:rPr>
        <w:t xml:space="preserve"> Courts of Appeals</w:t>
      </w:r>
    </w:p>
    <w:p w14:paraId="2736CA07"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7" w:history="1">
        <w:r>
          <w:rPr>
            <w:color w:val="0000FF"/>
            <w:u w:val="single"/>
          </w:rPr>
          <w:t>170BVIII(E)</w:t>
        </w:r>
      </w:hyperlink>
      <w:r>
        <w:rPr>
          <w:color w:val="000000"/>
        </w:rPr>
        <w:t xml:space="preserve"> Proceedings for Transfer of Case</w:t>
      </w:r>
    </w:p>
    <w:p w14:paraId="7BF13559"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8" w:history="1">
        <w:r>
          <w:rPr>
            <w:color w:val="0000FF"/>
            <w:u w:val="single"/>
          </w:rPr>
          <w:t>170Bk660</w:t>
        </w:r>
      </w:hyperlink>
      <w:r>
        <w:rPr>
          <w:color w:val="000000"/>
        </w:rPr>
        <w:t xml:space="preserve"> Certification and Leave to Appeal</w:t>
      </w:r>
    </w:p>
    <w:p w14:paraId="6F988A1F"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29"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30" w:history="1">
        <w:r>
          <w:rPr>
            <w:color w:val="0000FF"/>
            <w:u w:val="single"/>
          </w:rPr>
          <w:t>Most Cited Cases</w:t>
        </w:r>
      </w:hyperlink>
      <w:r>
        <w:rPr>
          <w:color w:val="000000"/>
        </w:rPr>
        <w:t xml:space="preserve"> </w:t>
      </w:r>
    </w:p>
    <w:p w14:paraId="49F7AB97" w14:textId="77777777" w:rsidR="003C7122" w:rsidRDefault="003C7122">
      <w:pPr>
        <w:widowControl w:val="0"/>
        <w:autoSpaceDE w:val="0"/>
        <w:autoSpaceDN w:val="0"/>
        <w:adjustRightInd w:val="0"/>
        <w:jc w:val="both"/>
        <w:rPr>
          <w:color w:val="000000"/>
          <w:sz w:val="24"/>
          <w:szCs w:val="24"/>
        </w:rPr>
      </w:pPr>
      <w:bookmarkStart w:id="6" w:name="Document1zzI1c60d5d6913011df9b8c85033233"/>
      <w:bookmarkEnd w:id="6"/>
    </w:p>
    <w:p w14:paraId="3D7EA216" w14:textId="77777777" w:rsidR="003C7122" w:rsidRDefault="00D75BF9">
      <w:pPr>
        <w:widowControl w:val="0"/>
        <w:autoSpaceDE w:val="0"/>
        <w:autoSpaceDN w:val="0"/>
        <w:adjustRightInd w:val="0"/>
        <w:ind w:firstLine="360"/>
        <w:jc w:val="both"/>
        <w:rPr>
          <w:color w:val="000000"/>
          <w:sz w:val="24"/>
          <w:szCs w:val="24"/>
        </w:rPr>
      </w:pPr>
      <w:r>
        <w:rPr>
          <w:color w:val="000000"/>
        </w:rPr>
        <w:t>There was not a substantial ground for difference of opinion on meaning of term “substantially the same” in context of forum non conveniens provisions of Anti-Terrorism Act (ATA), and thus certification of District Court's order interpreting term, as used in ATA, for interlocutory review was not appropriate; although District Court order interpreting term was considered a matter of first impression, interpretation of term was neither incorrect nor “pa</w:t>
      </w:r>
      <w:r>
        <w:rPr>
          <w:color w:val="000000"/>
        </w:rPr>
        <w:t>r</w:t>
      </w:r>
      <w:r>
        <w:rPr>
          <w:color w:val="000000"/>
        </w:rPr>
        <w:t>ticularly difficult” when considered in light of general purposes for which ATA was enacted as well as how la</w:t>
      </w:r>
      <w:r>
        <w:rPr>
          <w:color w:val="000000"/>
        </w:rPr>
        <w:t>n</w:t>
      </w:r>
      <w:r>
        <w:rPr>
          <w:color w:val="000000"/>
        </w:rPr>
        <w:t xml:space="preserve">guage fit into statutory scheme, as Congress wanted to ensure that ATA suits were not routinely dismissed on forum non conveniens grounds in favor of courts with remedies less favorable to plaintiffs. </w:t>
      </w:r>
      <w:hyperlink r:id="rId31" w:history="1">
        <w:proofErr w:type="gramStart"/>
        <w:r>
          <w:rPr>
            <w:color w:val="0000FF"/>
            <w:u w:val="single"/>
          </w:rPr>
          <w:t>18 U.S.C.A. § 2334(d)</w:t>
        </w:r>
      </w:hyperlink>
      <w:r>
        <w:rPr>
          <w:color w:val="000000"/>
        </w:rPr>
        <w:t xml:space="preserve">; </w:t>
      </w:r>
      <w:hyperlink r:id="rId32" w:history="1">
        <w:r>
          <w:rPr>
            <w:color w:val="0000FF"/>
            <w:u w:val="single"/>
          </w:rPr>
          <w:t>28 U.S.C.A. § 1292(b)</w:t>
        </w:r>
      </w:hyperlink>
      <w:r>
        <w:rPr>
          <w:color w:val="000000"/>
        </w:rPr>
        <w:t>.</w:t>
      </w:r>
      <w:proofErr w:type="gramEnd"/>
    </w:p>
    <w:p w14:paraId="3E1D04DA" w14:textId="77777777" w:rsidR="003C7122" w:rsidRDefault="003C7122">
      <w:pPr>
        <w:widowControl w:val="0"/>
        <w:autoSpaceDE w:val="0"/>
        <w:autoSpaceDN w:val="0"/>
        <w:adjustRightInd w:val="0"/>
        <w:rPr>
          <w:color w:val="000000"/>
          <w:sz w:val="24"/>
          <w:szCs w:val="24"/>
        </w:rPr>
      </w:pPr>
    </w:p>
    <w:p w14:paraId="7A4FF762" w14:textId="77777777" w:rsidR="003C7122" w:rsidRDefault="00D24980">
      <w:pPr>
        <w:widowControl w:val="0"/>
        <w:autoSpaceDE w:val="0"/>
        <w:autoSpaceDN w:val="0"/>
        <w:adjustRightInd w:val="0"/>
        <w:jc w:val="both"/>
        <w:rPr>
          <w:color w:val="000000"/>
          <w:sz w:val="24"/>
          <w:szCs w:val="24"/>
        </w:rPr>
      </w:pPr>
      <w:hyperlink w:anchor="Document1zzB42021482735" w:history="1">
        <w:r w:rsidR="00D75BF9">
          <w:rPr>
            <w:b/>
            <w:bCs/>
            <w:color w:val="0000FF"/>
            <w:u w:val="single"/>
          </w:rPr>
          <w:t>[4]</w:t>
        </w:r>
      </w:hyperlink>
      <w:bookmarkStart w:id="7" w:name="Document1zzF42021482735"/>
      <w:bookmarkEnd w:id="7"/>
      <w:r w:rsidR="00D75BF9">
        <w:rPr>
          <w:b/>
          <w:bCs/>
          <w:color w:val="000000"/>
        </w:rPr>
        <w:t xml:space="preserve"> Constitutional Law 92 </w:t>
      </w:r>
      <w:r w:rsidR="00D376E2">
        <w:rPr>
          <w:b/>
          <w:bCs/>
          <w:noProof/>
          <w:color w:val="000000"/>
        </w:rPr>
        <w:drawing>
          <wp:inline distT="0" distB="0" distL="0" distR="0" wp14:anchorId="1E016A7F" wp14:editId="375F585D">
            <wp:extent cx="258445" cy="128905"/>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4560</w:t>
      </w:r>
    </w:p>
    <w:p w14:paraId="68D262C9" w14:textId="77777777" w:rsidR="003C7122" w:rsidRDefault="003C7122">
      <w:pPr>
        <w:widowControl w:val="0"/>
        <w:autoSpaceDE w:val="0"/>
        <w:autoSpaceDN w:val="0"/>
        <w:adjustRightInd w:val="0"/>
        <w:rPr>
          <w:color w:val="000000"/>
          <w:sz w:val="24"/>
          <w:szCs w:val="24"/>
        </w:rPr>
      </w:pPr>
    </w:p>
    <w:p w14:paraId="6A24A058" w14:textId="77777777" w:rsidR="003C7122" w:rsidRDefault="00D24980">
      <w:pPr>
        <w:widowControl w:val="0"/>
        <w:autoSpaceDE w:val="0"/>
        <w:autoSpaceDN w:val="0"/>
        <w:adjustRightInd w:val="0"/>
        <w:jc w:val="both"/>
        <w:rPr>
          <w:color w:val="000000"/>
          <w:sz w:val="24"/>
          <w:szCs w:val="24"/>
        </w:rPr>
      </w:pPr>
      <w:hyperlink r:id="rId33" w:history="1">
        <w:r w:rsidR="00D75BF9">
          <w:rPr>
            <w:color w:val="0000FF"/>
            <w:u w:val="single"/>
          </w:rPr>
          <w:t>92</w:t>
        </w:r>
      </w:hyperlink>
      <w:r w:rsidR="00D75BF9">
        <w:rPr>
          <w:color w:val="000000"/>
        </w:rPr>
        <w:t xml:space="preserve"> Constitutional Law</w:t>
      </w:r>
    </w:p>
    <w:p w14:paraId="1A283C5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4" w:history="1">
        <w:r>
          <w:rPr>
            <w:color w:val="0000FF"/>
            <w:u w:val="single"/>
          </w:rPr>
          <w:t>92XXVII</w:t>
        </w:r>
      </w:hyperlink>
      <w:r>
        <w:rPr>
          <w:color w:val="000000"/>
        </w:rPr>
        <w:t xml:space="preserve"> Due Process</w:t>
      </w:r>
    </w:p>
    <w:p w14:paraId="149EBBEE"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5" w:history="1">
        <w:r>
          <w:rPr>
            <w:color w:val="0000FF"/>
            <w:u w:val="single"/>
          </w:rPr>
          <w:t>92XXVII(H)</w:t>
        </w:r>
      </w:hyperlink>
      <w:r>
        <w:rPr>
          <w:color w:val="000000"/>
        </w:rPr>
        <w:t xml:space="preserve"> Criminal Law</w:t>
      </w:r>
    </w:p>
    <w:p w14:paraId="289C5E66"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6" w:history="1">
        <w:r>
          <w:rPr>
            <w:color w:val="0000FF"/>
            <w:u w:val="single"/>
          </w:rPr>
          <w:t>92XXVII(</w:t>
        </w:r>
        <w:proofErr w:type="gramStart"/>
        <w:r>
          <w:rPr>
            <w:color w:val="0000FF"/>
            <w:u w:val="single"/>
          </w:rPr>
          <w:t>H)4</w:t>
        </w:r>
        <w:proofErr w:type="gramEnd"/>
      </w:hyperlink>
      <w:r>
        <w:rPr>
          <w:color w:val="000000"/>
        </w:rPr>
        <w:t xml:space="preserve"> Proceedings and Trial</w:t>
      </w:r>
    </w:p>
    <w:p w14:paraId="11DE26BB"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37" w:history="1">
        <w:proofErr w:type="gramStart"/>
        <w:r>
          <w:rPr>
            <w:color w:val="0000FF"/>
            <w:u w:val="single"/>
          </w:rPr>
          <w:t>92k4560</w:t>
        </w:r>
      </w:hyperlink>
      <w:r>
        <w:rPr>
          <w:color w:val="000000"/>
        </w:rPr>
        <w:t xml:space="preserve"> k. Extraterritorial application of penal laws.</w:t>
      </w:r>
      <w:proofErr w:type="gramEnd"/>
      <w:r>
        <w:rPr>
          <w:color w:val="000000"/>
        </w:rPr>
        <w:t xml:space="preserve"> </w:t>
      </w:r>
      <w:hyperlink r:id="rId38" w:history="1">
        <w:r>
          <w:rPr>
            <w:color w:val="0000FF"/>
            <w:u w:val="single"/>
          </w:rPr>
          <w:t>Most Cited Cases</w:t>
        </w:r>
      </w:hyperlink>
      <w:r>
        <w:rPr>
          <w:color w:val="000000"/>
        </w:rPr>
        <w:t xml:space="preserve"> </w:t>
      </w:r>
    </w:p>
    <w:p w14:paraId="128085D7" w14:textId="77777777" w:rsidR="003C7122" w:rsidRDefault="003C7122">
      <w:pPr>
        <w:widowControl w:val="0"/>
        <w:autoSpaceDE w:val="0"/>
        <w:autoSpaceDN w:val="0"/>
        <w:adjustRightInd w:val="0"/>
        <w:jc w:val="both"/>
        <w:rPr>
          <w:color w:val="000000"/>
          <w:sz w:val="24"/>
          <w:szCs w:val="24"/>
        </w:rPr>
      </w:pPr>
      <w:bookmarkStart w:id="8" w:name="Document1zzI1c60d5d8913011df9b8c85033233"/>
      <w:bookmarkEnd w:id="8"/>
    </w:p>
    <w:p w14:paraId="679B3B88"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In the criminal context, the Due Process Clause of the Fifth Amendment limits Congress's power to regulate foreign entities' conduct outside of the United States to circumstances where there is a “sufficient nexus” between the conduct and the United States' interest so that applying U.S. law would not be arbitrary or fundamentally unfair. </w:t>
      </w:r>
      <w:hyperlink r:id="rId39" w:history="1">
        <w:r>
          <w:rPr>
            <w:color w:val="0000FF"/>
            <w:u w:val="single"/>
          </w:rPr>
          <w:t>U.S.C.A. Const.Amend. 5</w:t>
        </w:r>
      </w:hyperlink>
      <w:r>
        <w:rPr>
          <w:color w:val="000000"/>
        </w:rPr>
        <w:t>.</w:t>
      </w:r>
    </w:p>
    <w:p w14:paraId="4947B39C" w14:textId="77777777" w:rsidR="003C7122" w:rsidRDefault="003C7122">
      <w:pPr>
        <w:widowControl w:val="0"/>
        <w:autoSpaceDE w:val="0"/>
        <w:autoSpaceDN w:val="0"/>
        <w:adjustRightInd w:val="0"/>
        <w:rPr>
          <w:color w:val="000000"/>
          <w:sz w:val="24"/>
          <w:szCs w:val="24"/>
        </w:rPr>
      </w:pPr>
    </w:p>
    <w:p w14:paraId="5EC25464" w14:textId="77777777" w:rsidR="003C7122" w:rsidRDefault="00D24980">
      <w:pPr>
        <w:widowControl w:val="0"/>
        <w:autoSpaceDE w:val="0"/>
        <w:autoSpaceDN w:val="0"/>
        <w:adjustRightInd w:val="0"/>
        <w:jc w:val="both"/>
        <w:rPr>
          <w:color w:val="000000"/>
          <w:sz w:val="24"/>
          <w:szCs w:val="24"/>
        </w:rPr>
      </w:pPr>
      <w:hyperlink w:anchor="Document1zzB52021482735" w:history="1">
        <w:r w:rsidR="00D75BF9">
          <w:rPr>
            <w:b/>
            <w:bCs/>
            <w:color w:val="0000FF"/>
            <w:u w:val="single"/>
          </w:rPr>
          <w:t>[5]</w:t>
        </w:r>
      </w:hyperlink>
      <w:bookmarkStart w:id="9" w:name="Document1zzF52021482735"/>
      <w:bookmarkEnd w:id="9"/>
      <w:r w:rsidR="00D75BF9">
        <w:rPr>
          <w:b/>
          <w:bCs/>
          <w:color w:val="000000"/>
        </w:rPr>
        <w:t xml:space="preserve"> Federal Courts 170B </w:t>
      </w:r>
      <w:r w:rsidR="00D376E2">
        <w:rPr>
          <w:b/>
          <w:bCs/>
          <w:noProof/>
          <w:color w:val="000000"/>
        </w:rPr>
        <w:drawing>
          <wp:inline distT="0" distB="0" distL="0" distR="0" wp14:anchorId="5FCDB389" wp14:editId="716D811B">
            <wp:extent cx="258445" cy="128905"/>
            <wp:effectExtent l="0" t="0" r="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602C6FAC" w14:textId="77777777" w:rsidR="003C7122" w:rsidRDefault="003C7122">
      <w:pPr>
        <w:widowControl w:val="0"/>
        <w:autoSpaceDE w:val="0"/>
        <w:autoSpaceDN w:val="0"/>
        <w:adjustRightInd w:val="0"/>
        <w:rPr>
          <w:color w:val="000000"/>
          <w:sz w:val="24"/>
          <w:szCs w:val="24"/>
        </w:rPr>
      </w:pPr>
    </w:p>
    <w:p w14:paraId="23C4F02E" w14:textId="77777777" w:rsidR="003C7122" w:rsidRDefault="00D24980">
      <w:pPr>
        <w:widowControl w:val="0"/>
        <w:autoSpaceDE w:val="0"/>
        <w:autoSpaceDN w:val="0"/>
        <w:adjustRightInd w:val="0"/>
        <w:jc w:val="both"/>
        <w:rPr>
          <w:color w:val="000000"/>
          <w:sz w:val="24"/>
          <w:szCs w:val="24"/>
        </w:rPr>
      </w:pPr>
      <w:hyperlink r:id="rId40" w:history="1">
        <w:r w:rsidR="00D75BF9">
          <w:rPr>
            <w:color w:val="0000FF"/>
            <w:u w:val="single"/>
          </w:rPr>
          <w:t>170B</w:t>
        </w:r>
      </w:hyperlink>
      <w:r w:rsidR="00D75BF9">
        <w:rPr>
          <w:color w:val="000000"/>
        </w:rPr>
        <w:t xml:space="preserve"> Federal Courts</w:t>
      </w:r>
    </w:p>
    <w:p w14:paraId="553ECE4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1" w:history="1">
        <w:r>
          <w:rPr>
            <w:color w:val="0000FF"/>
            <w:u w:val="single"/>
          </w:rPr>
          <w:t>170BVIII</w:t>
        </w:r>
      </w:hyperlink>
      <w:r>
        <w:rPr>
          <w:color w:val="000000"/>
        </w:rPr>
        <w:t xml:space="preserve"> Courts of Appeals</w:t>
      </w:r>
    </w:p>
    <w:p w14:paraId="657B80A2"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2" w:history="1">
        <w:r>
          <w:rPr>
            <w:color w:val="0000FF"/>
            <w:u w:val="single"/>
          </w:rPr>
          <w:t>170BVIII(E)</w:t>
        </w:r>
      </w:hyperlink>
      <w:r>
        <w:rPr>
          <w:color w:val="000000"/>
        </w:rPr>
        <w:t xml:space="preserve"> Proceedings for Transfer of Case</w:t>
      </w:r>
    </w:p>
    <w:p w14:paraId="4E02ABB4"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3" w:history="1">
        <w:r>
          <w:rPr>
            <w:color w:val="0000FF"/>
            <w:u w:val="single"/>
          </w:rPr>
          <w:t>170Bk660</w:t>
        </w:r>
      </w:hyperlink>
      <w:r>
        <w:rPr>
          <w:color w:val="000000"/>
        </w:rPr>
        <w:t xml:space="preserve"> Certification and Leave to Appeal</w:t>
      </w:r>
    </w:p>
    <w:p w14:paraId="578204F6"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44"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45" w:history="1">
        <w:r>
          <w:rPr>
            <w:color w:val="0000FF"/>
            <w:u w:val="single"/>
          </w:rPr>
          <w:t>Most Cited Cases</w:t>
        </w:r>
      </w:hyperlink>
      <w:r>
        <w:rPr>
          <w:color w:val="000000"/>
        </w:rPr>
        <w:t xml:space="preserve"> </w:t>
      </w:r>
    </w:p>
    <w:p w14:paraId="320532C6" w14:textId="77777777" w:rsidR="003C7122" w:rsidRDefault="003C7122">
      <w:pPr>
        <w:widowControl w:val="0"/>
        <w:autoSpaceDE w:val="0"/>
        <w:autoSpaceDN w:val="0"/>
        <w:adjustRightInd w:val="0"/>
        <w:jc w:val="both"/>
        <w:rPr>
          <w:color w:val="000000"/>
          <w:sz w:val="24"/>
          <w:szCs w:val="24"/>
        </w:rPr>
      </w:pPr>
      <w:bookmarkStart w:id="10" w:name="Document1zzI1c60d5da913011df9b8c85033233"/>
      <w:bookmarkEnd w:id="10"/>
    </w:p>
    <w:p w14:paraId="0C79B4DE" w14:textId="77777777" w:rsidR="003C7122" w:rsidRDefault="00D75BF9">
      <w:pPr>
        <w:widowControl w:val="0"/>
        <w:autoSpaceDE w:val="0"/>
        <w:autoSpaceDN w:val="0"/>
        <w:adjustRightInd w:val="0"/>
        <w:ind w:firstLine="360"/>
        <w:jc w:val="both"/>
        <w:rPr>
          <w:color w:val="000000"/>
          <w:sz w:val="24"/>
          <w:szCs w:val="24"/>
        </w:rPr>
      </w:pPr>
      <w:r>
        <w:rPr>
          <w:color w:val="000000"/>
        </w:rPr>
        <w:t>Sufficient causal nexus existed between United States and alleged off-shore conduct of international financial institution in providing material support to terrorist group in maintaining account for organization, in knowingly transferring monies to entities controlled by group, in that terrorist group's activities were fueled by funds that flowed into organization, and in that group was responsible for bus bombing in which Canadian citizen-Israeli res</w:t>
      </w:r>
      <w:r>
        <w:rPr>
          <w:color w:val="000000"/>
        </w:rPr>
        <w:t>i</w:t>
      </w:r>
      <w:r>
        <w:rPr>
          <w:color w:val="000000"/>
        </w:rPr>
        <w:t>dent was killed, and thus, certification of district court's order for interlocutory review to determine whether it was constitutional to apply Anti-Terrorism Act (ATA) to institution's alleged off-shore conduct was not appropriate; institution had full-time systematic and continuous operations in New York City so as to subject it to general juri</w:t>
      </w:r>
      <w:r>
        <w:rPr>
          <w:color w:val="000000"/>
        </w:rPr>
        <w:t>s</w:t>
      </w:r>
      <w:r>
        <w:rPr>
          <w:color w:val="000000"/>
        </w:rPr>
        <w:t>diction, United States had interest in combating international terrorism both within its borders and abroad, jurisdi</w:t>
      </w:r>
      <w:r>
        <w:rPr>
          <w:color w:val="000000"/>
        </w:rPr>
        <w:t>c</w:t>
      </w:r>
      <w:r>
        <w:rPr>
          <w:color w:val="000000"/>
        </w:rPr>
        <w:t xml:space="preserve">tion was not clearly contrary to any recognized principles of international law as both objective territorial principle and passive personality supported jurisdiction, and issue was not “pure” question of law. </w:t>
      </w:r>
      <w:hyperlink r:id="rId46" w:history="1">
        <w:proofErr w:type="gramStart"/>
        <w:r>
          <w:rPr>
            <w:color w:val="0000FF"/>
            <w:u w:val="single"/>
          </w:rPr>
          <w:t>18 U.S.C.A. §§ 2333(a)</w:t>
        </w:r>
      </w:hyperlink>
      <w:r>
        <w:rPr>
          <w:color w:val="000000"/>
        </w:rPr>
        <w:t xml:space="preserve">, </w:t>
      </w:r>
      <w:hyperlink r:id="rId47" w:history="1">
        <w:r>
          <w:rPr>
            <w:color w:val="0000FF"/>
            <w:u w:val="single"/>
          </w:rPr>
          <w:t>2339B</w:t>
        </w:r>
      </w:hyperlink>
      <w:r>
        <w:rPr>
          <w:color w:val="000000"/>
        </w:rPr>
        <w:t xml:space="preserve">; </w:t>
      </w:r>
      <w:hyperlink r:id="rId48" w:history="1">
        <w:r>
          <w:rPr>
            <w:color w:val="0000FF"/>
            <w:u w:val="single"/>
          </w:rPr>
          <w:t>28 U.S.C.A. § 1292(b)</w:t>
        </w:r>
      </w:hyperlink>
      <w:r>
        <w:rPr>
          <w:color w:val="000000"/>
        </w:rPr>
        <w:t>.</w:t>
      </w:r>
      <w:proofErr w:type="gramEnd"/>
    </w:p>
    <w:p w14:paraId="341C6172" w14:textId="77777777" w:rsidR="003C7122" w:rsidRDefault="003C7122">
      <w:pPr>
        <w:widowControl w:val="0"/>
        <w:autoSpaceDE w:val="0"/>
        <w:autoSpaceDN w:val="0"/>
        <w:adjustRightInd w:val="0"/>
        <w:rPr>
          <w:color w:val="000000"/>
          <w:sz w:val="24"/>
          <w:szCs w:val="24"/>
        </w:rPr>
      </w:pPr>
    </w:p>
    <w:p w14:paraId="3FD3201D" w14:textId="77777777" w:rsidR="003C7122" w:rsidRDefault="00D24980">
      <w:pPr>
        <w:widowControl w:val="0"/>
        <w:autoSpaceDE w:val="0"/>
        <w:autoSpaceDN w:val="0"/>
        <w:adjustRightInd w:val="0"/>
        <w:jc w:val="both"/>
        <w:rPr>
          <w:color w:val="000000"/>
          <w:sz w:val="24"/>
          <w:szCs w:val="24"/>
        </w:rPr>
      </w:pPr>
      <w:hyperlink w:anchor="Document1zzB62021482735" w:history="1">
        <w:r w:rsidR="00D75BF9">
          <w:rPr>
            <w:b/>
            <w:bCs/>
            <w:color w:val="0000FF"/>
            <w:u w:val="single"/>
          </w:rPr>
          <w:t>[6]</w:t>
        </w:r>
      </w:hyperlink>
      <w:bookmarkStart w:id="11" w:name="Document1zzF62021482735"/>
      <w:bookmarkEnd w:id="11"/>
      <w:r w:rsidR="00D75BF9">
        <w:rPr>
          <w:b/>
          <w:bCs/>
          <w:color w:val="000000"/>
        </w:rPr>
        <w:t xml:space="preserve"> Evidence 157 </w:t>
      </w:r>
      <w:r w:rsidR="00D376E2">
        <w:rPr>
          <w:b/>
          <w:bCs/>
          <w:noProof/>
          <w:color w:val="000000"/>
        </w:rPr>
        <w:drawing>
          <wp:inline distT="0" distB="0" distL="0" distR="0" wp14:anchorId="10FEF00F" wp14:editId="1F4C1DAF">
            <wp:extent cx="258445" cy="128905"/>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12</w:t>
      </w:r>
    </w:p>
    <w:p w14:paraId="2183E03D" w14:textId="77777777" w:rsidR="003C7122" w:rsidRDefault="003C7122">
      <w:pPr>
        <w:widowControl w:val="0"/>
        <w:autoSpaceDE w:val="0"/>
        <w:autoSpaceDN w:val="0"/>
        <w:adjustRightInd w:val="0"/>
        <w:rPr>
          <w:color w:val="000000"/>
          <w:sz w:val="24"/>
          <w:szCs w:val="24"/>
        </w:rPr>
      </w:pPr>
    </w:p>
    <w:p w14:paraId="5B3E469F" w14:textId="77777777" w:rsidR="003C7122" w:rsidRDefault="00D24980">
      <w:pPr>
        <w:widowControl w:val="0"/>
        <w:autoSpaceDE w:val="0"/>
        <w:autoSpaceDN w:val="0"/>
        <w:adjustRightInd w:val="0"/>
        <w:jc w:val="both"/>
        <w:rPr>
          <w:color w:val="000000"/>
          <w:sz w:val="24"/>
          <w:szCs w:val="24"/>
        </w:rPr>
      </w:pPr>
      <w:hyperlink r:id="rId49" w:history="1">
        <w:r w:rsidR="00D75BF9">
          <w:rPr>
            <w:color w:val="0000FF"/>
            <w:u w:val="single"/>
          </w:rPr>
          <w:t>157</w:t>
        </w:r>
      </w:hyperlink>
      <w:r w:rsidR="00D75BF9">
        <w:rPr>
          <w:color w:val="000000"/>
        </w:rPr>
        <w:t xml:space="preserve"> Evidence</w:t>
      </w:r>
    </w:p>
    <w:p w14:paraId="7F282005"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0" w:history="1">
        <w:r>
          <w:rPr>
            <w:color w:val="0000FF"/>
            <w:u w:val="single"/>
          </w:rPr>
          <w:t>157I</w:t>
        </w:r>
      </w:hyperlink>
      <w:r>
        <w:rPr>
          <w:color w:val="000000"/>
        </w:rPr>
        <w:t xml:space="preserve"> Judicial Notice</w:t>
      </w:r>
    </w:p>
    <w:p w14:paraId="41614CFD"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1" w:history="1">
        <w:proofErr w:type="gramStart"/>
        <w:r>
          <w:rPr>
            <w:color w:val="0000FF"/>
            <w:u w:val="single"/>
          </w:rPr>
          <w:t>157k12</w:t>
        </w:r>
      </w:hyperlink>
      <w:r>
        <w:rPr>
          <w:color w:val="000000"/>
        </w:rPr>
        <w:t xml:space="preserve"> k. Statistical facts.</w:t>
      </w:r>
      <w:proofErr w:type="gramEnd"/>
      <w:r>
        <w:rPr>
          <w:color w:val="000000"/>
        </w:rPr>
        <w:t xml:space="preserve"> </w:t>
      </w:r>
      <w:hyperlink r:id="rId52" w:history="1">
        <w:r>
          <w:rPr>
            <w:color w:val="0000FF"/>
            <w:u w:val="single"/>
          </w:rPr>
          <w:t>Most Cited Cases</w:t>
        </w:r>
      </w:hyperlink>
      <w:r>
        <w:rPr>
          <w:color w:val="000000"/>
        </w:rPr>
        <w:t xml:space="preserve"> </w:t>
      </w:r>
    </w:p>
    <w:p w14:paraId="4CD35269" w14:textId="77777777" w:rsidR="003C7122" w:rsidRDefault="003C7122">
      <w:pPr>
        <w:widowControl w:val="0"/>
        <w:autoSpaceDE w:val="0"/>
        <w:autoSpaceDN w:val="0"/>
        <w:adjustRightInd w:val="0"/>
        <w:jc w:val="both"/>
        <w:rPr>
          <w:color w:val="000000"/>
          <w:sz w:val="24"/>
          <w:szCs w:val="24"/>
        </w:rPr>
      </w:pPr>
      <w:bookmarkStart w:id="12" w:name="Document1zzI1c60d5dc913011df9b8c85033233"/>
      <w:bookmarkEnd w:id="12"/>
    </w:p>
    <w:p w14:paraId="620D7171" w14:textId="77777777" w:rsidR="003C7122" w:rsidRDefault="00D75BF9">
      <w:pPr>
        <w:widowControl w:val="0"/>
        <w:autoSpaceDE w:val="0"/>
        <w:autoSpaceDN w:val="0"/>
        <w:adjustRightInd w:val="0"/>
        <w:ind w:firstLine="360"/>
        <w:jc w:val="both"/>
        <w:rPr>
          <w:color w:val="000000"/>
          <w:sz w:val="24"/>
          <w:szCs w:val="24"/>
        </w:rPr>
      </w:pPr>
      <w:r>
        <w:rPr>
          <w:color w:val="000000"/>
        </w:rPr>
        <w:t>District Court would take judicial notice of fact that a large number of Americans are located in Israel as vis</w:t>
      </w:r>
      <w:r>
        <w:rPr>
          <w:color w:val="000000"/>
        </w:rPr>
        <w:t>i</w:t>
      </w:r>
      <w:r>
        <w:rPr>
          <w:color w:val="000000"/>
        </w:rPr>
        <w:t>tors or permanent residents.</w:t>
      </w:r>
    </w:p>
    <w:p w14:paraId="38C5DA16" w14:textId="77777777" w:rsidR="003C7122" w:rsidRDefault="003C7122">
      <w:pPr>
        <w:widowControl w:val="0"/>
        <w:autoSpaceDE w:val="0"/>
        <w:autoSpaceDN w:val="0"/>
        <w:adjustRightInd w:val="0"/>
        <w:rPr>
          <w:color w:val="000000"/>
          <w:sz w:val="24"/>
          <w:szCs w:val="24"/>
        </w:rPr>
      </w:pPr>
    </w:p>
    <w:p w14:paraId="194C5643" w14:textId="77777777" w:rsidR="003C7122" w:rsidRDefault="00D24980">
      <w:pPr>
        <w:widowControl w:val="0"/>
        <w:autoSpaceDE w:val="0"/>
        <w:autoSpaceDN w:val="0"/>
        <w:adjustRightInd w:val="0"/>
        <w:jc w:val="both"/>
        <w:rPr>
          <w:color w:val="000000"/>
          <w:sz w:val="24"/>
          <w:szCs w:val="24"/>
        </w:rPr>
      </w:pPr>
      <w:hyperlink w:anchor="Document1zzB72021482735" w:history="1">
        <w:r w:rsidR="00D75BF9">
          <w:rPr>
            <w:b/>
            <w:bCs/>
            <w:color w:val="0000FF"/>
            <w:u w:val="single"/>
          </w:rPr>
          <w:t>[7]</w:t>
        </w:r>
      </w:hyperlink>
      <w:bookmarkStart w:id="13" w:name="Document1zzF72021482735"/>
      <w:bookmarkEnd w:id="13"/>
      <w:r w:rsidR="00D75BF9">
        <w:rPr>
          <w:b/>
          <w:bCs/>
          <w:color w:val="000000"/>
        </w:rPr>
        <w:t xml:space="preserve"> Federal Courts 170B </w:t>
      </w:r>
      <w:r w:rsidR="00D376E2">
        <w:rPr>
          <w:b/>
          <w:bCs/>
          <w:noProof/>
          <w:color w:val="000000"/>
        </w:rPr>
        <w:drawing>
          <wp:inline distT="0" distB="0" distL="0" distR="0" wp14:anchorId="461B78D2" wp14:editId="26F6FD9C">
            <wp:extent cx="258445" cy="128905"/>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58445" cy="128905"/>
                    </a:xfrm>
                    <a:prstGeom prst="rect">
                      <a:avLst/>
                    </a:prstGeom>
                    <a:noFill/>
                    <a:ln>
                      <a:noFill/>
                    </a:ln>
                  </pic:spPr>
                </pic:pic>
              </a:graphicData>
            </a:graphic>
          </wp:inline>
        </w:drawing>
      </w:r>
      <w:r w:rsidR="00D75BF9">
        <w:rPr>
          <w:b/>
          <w:bCs/>
          <w:color w:val="000000"/>
        </w:rPr>
        <w:t>660.5</w:t>
      </w:r>
    </w:p>
    <w:p w14:paraId="2095FAC5" w14:textId="77777777" w:rsidR="003C7122" w:rsidRDefault="003C7122">
      <w:pPr>
        <w:widowControl w:val="0"/>
        <w:autoSpaceDE w:val="0"/>
        <w:autoSpaceDN w:val="0"/>
        <w:adjustRightInd w:val="0"/>
        <w:rPr>
          <w:color w:val="000000"/>
          <w:sz w:val="24"/>
          <w:szCs w:val="24"/>
        </w:rPr>
      </w:pPr>
    </w:p>
    <w:p w14:paraId="34C21469" w14:textId="77777777" w:rsidR="003C7122" w:rsidRDefault="00D24980">
      <w:pPr>
        <w:widowControl w:val="0"/>
        <w:autoSpaceDE w:val="0"/>
        <w:autoSpaceDN w:val="0"/>
        <w:adjustRightInd w:val="0"/>
        <w:jc w:val="both"/>
        <w:rPr>
          <w:color w:val="000000"/>
          <w:sz w:val="24"/>
          <w:szCs w:val="24"/>
        </w:rPr>
      </w:pPr>
      <w:hyperlink r:id="rId53" w:history="1">
        <w:r w:rsidR="00D75BF9">
          <w:rPr>
            <w:color w:val="0000FF"/>
            <w:u w:val="single"/>
          </w:rPr>
          <w:t>170B</w:t>
        </w:r>
      </w:hyperlink>
      <w:r w:rsidR="00D75BF9">
        <w:rPr>
          <w:color w:val="000000"/>
        </w:rPr>
        <w:t xml:space="preserve"> Federal Courts</w:t>
      </w:r>
    </w:p>
    <w:p w14:paraId="1495C681"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4" w:history="1">
        <w:r>
          <w:rPr>
            <w:color w:val="0000FF"/>
            <w:u w:val="single"/>
          </w:rPr>
          <w:t>170BVIII</w:t>
        </w:r>
      </w:hyperlink>
      <w:r>
        <w:rPr>
          <w:color w:val="000000"/>
        </w:rPr>
        <w:t xml:space="preserve"> Courts of Appeals</w:t>
      </w:r>
    </w:p>
    <w:p w14:paraId="50ED0BD8"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5" w:history="1">
        <w:r>
          <w:rPr>
            <w:color w:val="0000FF"/>
            <w:u w:val="single"/>
          </w:rPr>
          <w:t>170BVIII(E)</w:t>
        </w:r>
      </w:hyperlink>
      <w:r>
        <w:rPr>
          <w:color w:val="000000"/>
        </w:rPr>
        <w:t xml:space="preserve"> Proceedings for Transfer of Case</w:t>
      </w:r>
    </w:p>
    <w:p w14:paraId="30EC3429"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6" w:history="1">
        <w:r>
          <w:rPr>
            <w:color w:val="0000FF"/>
            <w:u w:val="single"/>
          </w:rPr>
          <w:t>170Bk660</w:t>
        </w:r>
      </w:hyperlink>
      <w:r>
        <w:rPr>
          <w:color w:val="000000"/>
        </w:rPr>
        <w:t xml:space="preserve"> Certification and Leave to Appeal</w:t>
      </w:r>
    </w:p>
    <w:p w14:paraId="7099E8CD" w14:textId="77777777" w:rsidR="003C7122" w:rsidRDefault="00D75BF9">
      <w:pPr>
        <w:widowControl w:val="0"/>
        <w:autoSpaceDE w:val="0"/>
        <w:autoSpaceDN w:val="0"/>
        <w:adjustRightInd w:val="0"/>
        <w:jc w:val="both"/>
        <w:rPr>
          <w:color w:val="000000"/>
          <w:sz w:val="24"/>
          <w:szCs w:val="24"/>
        </w:rPr>
      </w:pPr>
      <w:r>
        <w:rPr>
          <w:color w:val="000000"/>
        </w:rPr>
        <w:t xml:space="preserve">                      </w:t>
      </w:r>
      <w:hyperlink r:id="rId57" w:history="1">
        <w:proofErr w:type="gramStart"/>
        <w:r>
          <w:rPr>
            <w:color w:val="0000FF"/>
            <w:u w:val="single"/>
          </w:rPr>
          <w:t>170Bk660.5</w:t>
        </w:r>
      </w:hyperlink>
      <w:r>
        <w:rPr>
          <w:color w:val="000000"/>
        </w:rPr>
        <w:t xml:space="preserve"> k. Particular actions and rulings.</w:t>
      </w:r>
      <w:proofErr w:type="gramEnd"/>
      <w:r>
        <w:rPr>
          <w:color w:val="000000"/>
        </w:rPr>
        <w:t xml:space="preserve"> </w:t>
      </w:r>
      <w:hyperlink r:id="rId58" w:history="1">
        <w:r>
          <w:rPr>
            <w:color w:val="0000FF"/>
            <w:u w:val="single"/>
          </w:rPr>
          <w:t>Most Cited Cases</w:t>
        </w:r>
      </w:hyperlink>
      <w:r>
        <w:rPr>
          <w:color w:val="000000"/>
        </w:rPr>
        <w:t xml:space="preserve"> </w:t>
      </w:r>
    </w:p>
    <w:p w14:paraId="5B84ED7E" w14:textId="77777777" w:rsidR="003C7122" w:rsidRDefault="003C7122">
      <w:pPr>
        <w:widowControl w:val="0"/>
        <w:autoSpaceDE w:val="0"/>
        <w:autoSpaceDN w:val="0"/>
        <w:adjustRightInd w:val="0"/>
        <w:jc w:val="both"/>
        <w:rPr>
          <w:color w:val="000000"/>
          <w:sz w:val="24"/>
          <w:szCs w:val="24"/>
        </w:rPr>
      </w:pPr>
      <w:bookmarkStart w:id="14" w:name="Document1zzI1c60d5de913011df9b8c85033233"/>
      <w:bookmarkEnd w:id="14"/>
    </w:p>
    <w:p w14:paraId="1597DFB4" w14:textId="77777777" w:rsidR="003C7122" w:rsidRDefault="00D75BF9">
      <w:pPr>
        <w:widowControl w:val="0"/>
        <w:autoSpaceDE w:val="0"/>
        <w:autoSpaceDN w:val="0"/>
        <w:adjustRightInd w:val="0"/>
        <w:ind w:firstLine="360"/>
        <w:jc w:val="both"/>
        <w:rPr>
          <w:color w:val="000000"/>
          <w:sz w:val="24"/>
          <w:szCs w:val="24"/>
        </w:rPr>
      </w:pPr>
      <w:r>
        <w:rPr>
          <w:color w:val="000000"/>
        </w:rPr>
        <w:t>Violation of Anti-Terrorism Act (ATA) provisions that made it crime to provide material support to terrorists and to designated foreign terrorist organizations satisfied “appears to be intended” prong of civil liability provision of the ATA, and thus, certification of District Court's order, concluding that ATA provision was satisfied, for inte</w:t>
      </w:r>
      <w:r>
        <w:rPr>
          <w:color w:val="000000"/>
        </w:rPr>
        <w:t>r</w:t>
      </w:r>
      <w:r>
        <w:rPr>
          <w:color w:val="000000"/>
        </w:rPr>
        <w:t>locutory review was not appropriate; Congress intended that intentional or reckless provision of material support to terrorist organization fulfilled prongs of ATA's definition of “international terrorism” and sufficed to establish liabi</w:t>
      </w:r>
      <w:r>
        <w:rPr>
          <w:color w:val="000000"/>
        </w:rPr>
        <w:t>l</w:t>
      </w:r>
      <w:r>
        <w:rPr>
          <w:color w:val="000000"/>
        </w:rPr>
        <w:t xml:space="preserve">ity under civil liability provisions of ATA. </w:t>
      </w:r>
      <w:hyperlink r:id="rId59" w:history="1">
        <w:proofErr w:type="gramStart"/>
        <w:r>
          <w:rPr>
            <w:color w:val="0000FF"/>
            <w:u w:val="single"/>
          </w:rPr>
          <w:t>18 U.S.C.A. §§ 2331(1)</w:t>
        </w:r>
      </w:hyperlink>
      <w:r>
        <w:rPr>
          <w:color w:val="000000"/>
        </w:rPr>
        <w:t xml:space="preserve">, </w:t>
      </w:r>
      <w:hyperlink r:id="rId60" w:history="1">
        <w:r>
          <w:rPr>
            <w:color w:val="0000FF"/>
            <w:u w:val="single"/>
          </w:rPr>
          <w:t>2339B</w:t>
        </w:r>
      </w:hyperlink>
      <w:r>
        <w:rPr>
          <w:color w:val="000000"/>
        </w:rPr>
        <w:t xml:space="preserve">, </w:t>
      </w:r>
      <w:hyperlink r:id="rId61" w:history="1">
        <w:r>
          <w:rPr>
            <w:color w:val="0000FF"/>
            <w:u w:val="single"/>
          </w:rPr>
          <w:t>2339C</w:t>
        </w:r>
      </w:hyperlink>
      <w:r>
        <w:rPr>
          <w:color w:val="000000"/>
        </w:rPr>
        <w:t xml:space="preserve">; </w:t>
      </w:r>
      <w:hyperlink r:id="rId62" w:history="1">
        <w:r>
          <w:rPr>
            <w:color w:val="0000FF"/>
            <w:u w:val="single"/>
          </w:rPr>
          <w:t>28 U.S.C.A. § 1292(b)</w:t>
        </w:r>
      </w:hyperlink>
      <w:r>
        <w:rPr>
          <w:color w:val="000000"/>
        </w:rPr>
        <w:t>.</w:t>
      </w:r>
      <w:proofErr w:type="gramEnd"/>
    </w:p>
    <w:p w14:paraId="7E6DC990" w14:textId="77777777" w:rsidR="003C7122" w:rsidRDefault="003C7122">
      <w:pPr>
        <w:widowControl w:val="0"/>
        <w:autoSpaceDE w:val="0"/>
        <w:autoSpaceDN w:val="0"/>
        <w:adjustRightInd w:val="0"/>
        <w:rPr>
          <w:color w:val="000000"/>
          <w:sz w:val="24"/>
          <w:szCs w:val="24"/>
        </w:rPr>
      </w:pPr>
    </w:p>
    <w:p w14:paraId="54DA9CF6" w14:textId="77777777" w:rsidR="003C7122" w:rsidRDefault="00D24980">
      <w:pPr>
        <w:widowControl w:val="0"/>
        <w:autoSpaceDE w:val="0"/>
        <w:autoSpaceDN w:val="0"/>
        <w:adjustRightInd w:val="0"/>
        <w:jc w:val="both"/>
        <w:rPr>
          <w:color w:val="000000"/>
          <w:sz w:val="24"/>
          <w:szCs w:val="24"/>
        </w:rPr>
      </w:pPr>
      <w:hyperlink r:id="rId63" w:history="1">
        <w:r w:rsidR="00D75BF9">
          <w:rPr>
            <w:color w:val="0000FF"/>
            <w:u w:val="single"/>
          </w:rPr>
          <w:t>Aaron Schlanger</w:t>
        </w:r>
      </w:hyperlink>
      <w:r w:rsidR="00D75BF9">
        <w:rPr>
          <w:color w:val="000000"/>
        </w:rPr>
        <w:t xml:space="preserve">, </w:t>
      </w:r>
      <w:hyperlink r:id="rId64" w:history="1">
        <w:r w:rsidR="00D75BF9">
          <w:rPr>
            <w:color w:val="0000FF"/>
            <w:u w:val="single"/>
          </w:rPr>
          <w:t>Gary M. Osen</w:t>
        </w:r>
      </w:hyperlink>
      <w:r w:rsidR="00D75BF9">
        <w:rPr>
          <w:color w:val="000000"/>
        </w:rPr>
        <w:t xml:space="preserve">, </w:t>
      </w:r>
      <w:hyperlink r:id="rId65" w:history="1">
        <w:r w:rsidR="00D75BF9">
          <w:rPr>
            <w:color w:val="0000FF"/>
            <w:u w:val="single"/>
          </w:rPr>
          <w:t>Joshua D. Glatter</w:t>
        </w:r>
      </w:hyperlink>
      <w:r w:rsidR="00D75BF9">
        <w:rPr>
          <w:color w:val="000000"/>
        </w:rPr>
        <w:t xml:space="preserve">, </w:t>
      </w:r>
      <w:hyperlink r:id="rId66" w:history="1">
        <w:r w:rsidR="00D75BF9">
          <w:rPr>
            <w:color w:val="0000FF"/>
            <w:u w:val="single"/>
          </w:rPr>
          <w:t>Peter Raven-Hansen</w:t>
        </w:r>
      </w:hyperlink>
      <w:r w:rsidR="00D75BF9">
        <w:rPr>
          <w:color w:val="000000"/>
        </w:rPr>
        <w:t xml:space="preserve">, </w:t>
      </w:r>
      <w:hyperlink r:id="rId67" w:history="1">
        <w:r w:rsidR="00D75BF9">
          <w:rPr>
            <w:color w:val="0000FF"/>
            <w:u w:val="single"/>
          </w:rPr>
          <w:t>Ari Ungar</w:t>
        </w:r>
      </w:hyperlink>
      <w:r w:rsidR="00D75BF9">
        <w:rPr>
          <w:color w:val="000000"/>
        </w:rPr>
        <w:t xml:space="preserve">, Osen LLC, Oradell, NJ, </w:t>
      </w:r>
      <w:hyperlink r:id="rId68" w:history="1">
        <w:r w:rsidR="00D75BF9">
          <w:rPr>
            <w:color w:val="0000FF"/>
            <w:u w:val="single"/>
          </w:rPr>
          <w:t>Neil L. Glazer</w:t>
        </w:r>
      </w:hyperlink>
      <w:r w:rsidR="00D75BF9">
        <w:rPr>
          <w:color w:val="000000"/>
        </w:rPr>
        <w:t xml:space="preserve">, </w:t>
      </w:r>
      <w:hyperlink r:id="rId69" w:history="1">
        <w:r w:rsidR="00D75BF9">
          <w:rPr>
            <w:color w:val="0000FF"/>
            <w:u w:val="single"/>
          </w:rPr>
          <w:t>Stephen H. Schwartz</w:t>
        </w:r>
      </w:hyperlink>
      <w:r w:rsidR="00D75BF9">
        <w:rPr>
          <w:color w:val="000000"/>
        </w:rPr>
        <w:t xml:space="preserve">, </w:t>
      </w:r>
      <w:hyperlink r:id="rId70" w:history="1">
        <w:r w:rsidR="00D75BF9">
          <w:rPr>
            <w:color w:val="0000FF"/>
            <w:u w:val="single"/>
          </w:rPr>
          <w:t>Steven M. Steingard</w:t>
        </w:r>
      </w:hyperlink>
      <w:r w:rsidR="00D75BF9">
        <w:rPr>
          <w:color w:val="000000"/>
        </w:rPr>
        <w:t>, Kohn Swift &amp; Graf P.C., Philadelphia, PA, for Plaintiffs.</w:t>
      </w:r>
    </w:p>
    <w:p w14:paraId="61C468C0" w14:textId="77777777" w:rsidR="003C7122" w:rsidRDefault="003C7122">
      <w:pPr>
        <w:widowControl w:val="0"/>
        <w:autoSpaceDE w:val="0"/>
        <w:autoSpaceDN w:val="0"/>
        <w:adjustRightInd w:val="0"/>
        <w:rPr>
          <w:color w:val="000000"/>
          <w:sz w:val="24"/>
          <w:szCs w:val="24"/>
        </w:rPr>
      </w:pPr>
    </w:p>
    <w:p w14:paraId="46F3705B" w14:textId="77777777" w:rsidR="003C7122" w:rsidRDefault="00D24980">
      <w:pPr>
        <w:widowControl w:val="0"/>
        <w:autoSpaceDE w:val="0"/>
        <w:autoSpaceDN w:val="0"/>
        <w:adjustRightInd w:val="0"/>
        <w:jc w:val="both"/>
        <w:rPr>
          <w:color w:val="000000"/>
          <w:sz w:val="24"/>
          <w:szCs w:val="24"/>
        </w:rPr>
      </w:pPr>
      <w:hyperlink r:id="rId71" w:history="1">
        <w:r w:rsidR="00D75BF9">
          <w:rPr>
            <w:color w:val="0000FF"/>
            <w:u w:val="single"/>
          </w:rPr>
          <w:t>Daniel Lucas Cantor</w:t>
        </w:r>
      </w:hyperlink>
      <w:r w:rsidR="00D75BF9">
        <w:rPr>
          <w:color w:val="000000"/>
        </w:rPr>
        <w:t xml:space="preserve">, </w:t>
      </w:r>
      <w:hyperlink r:id="rId72" w:history="1">
        <w:r w:rsidR="00D75BF9">
          <w:rPr>
            <w:color w:val="0000FF"/>
            <w:u w:val="single"/>
          </w:rPr>
          <w:t>Jonathan Rosenberg</w:t>
        </w:r>
      </w:hyperlink>
      <w:r w:rsidR="00D75BF9">
        <w:rPr>
          <w:color w:val="000000"/>
        </w:rPr>
        <w:t xml:space="preserve">, O'Melveny &amp; Myers LLP, </w:t>
      </w:r>
      <w:hyperlink r:id="rId73" w:history="1">
        <w:r w:rsidR="00D75BF9">
          <w:rPr>
            <w:color w:val="0000FF"/>
            <w:u w:val="single"/>
          </w:rPr>
          <w:t>Mark G. Hanchet</w:t>
        </w:r>
      </w:hyperlink>
      <w:r w:rsidR="00D75BF9">
        <w:rPr>
          <w:color w:val="000000"/>
        </w:rPr>
        <w:t>, Mayer Brown LLP, New York, NY, for Defendant.</w:t>
      </w:r>
    </w:p>
    <w:p w14:paraId="042A2E66" w14:textId="77777777" w:rsidR="003C7122" w:rsidRDefault="003C7122">
      <w:pPr>
        <w:widowControl w:val="0"/>
        <w:autoSpaceDE w:val="0"/>
        <w:autoSpaceDN w:val="0"/>
        <w:adjustRightInd w:val="0"/>
        <w:rPr>
          <w:color w:val="000000"/>
          <w:sz w:val="24"/>
          <w:szCs w:val="24"/>
        </w:rPr>
      </w:pPr>
    </w:p>
    <w:p w14:paraId="6142C2A3" w14:textId="77777777" w:rsidR="003C7122" w:rsidRDefault="00D75BF9">
      <w:pPr>
        <w:widowControl w:val="0"/>
        <w:autoSpaceDE w:val="0"/>
        <w:autoSpaceDN w:val="0"/>
        <w:adjustRightInd w:val="0"/>
        <w:jc w:val="center"/>
        <w:rPr>
          <w:color w:val="000000"/>
          <w:sz w:val="24"/>
          <w:szCs w:val="24"/>
        </w:rPr>
      </w:pPr>
      <w:r>
        <w:rPr>
          <w:i/>
          <w:iCs/>
          <w:color w:val="000000"/>
        </w:rPr>
        <w:t>MEMORANDUM AND ORDER</w:t>
      </w:r>
    </w:p>
    <w:p w14:paraId="5931E146" w14:textId="77777777" w:rsidR="003C7122" w:rsidRDefault="00D24980">
      <w:pPr>
        <w:widowControl w:val="0"/>
        <w:autoSpaceDE w:val="0"/>
        <w:autoSpaceDN w:val="0"/>
        <w:adjustRightInd w:val="0"/>
        <w:jc w:val="both"/>
        <w:rPr>
          <w:color w:val="000000"/>
          <w:sz w:val="24"/>
          <w:szCs w:val="24"/>
        </w:rPr>
      </w:pPr>
      <w:hyperlink r:id="rId74" w:history="1">
        <w:r w:rsidR="00D75BF9">
          <w:rPr>
            <w:color w:val="0000FF"/>
            <w:u w:val="single"/>
          </w:rPr>
          <w:t>TRAGER</w:t>
        </w:r>
      </w:hyperlink>
      <w:r w:rsidR="00D75BF9">
        <w:rPr>
          <w:color w:val="000000"/>
        </w:rPr>
        <w:t>, District Judge:</w:t>
      </w:r>
    </w:p>
    <w:p w14:paraId="699C1025" w14:textId="77777777" w:rsidR="003C7122" w:rsidRDefault="00D75BF9">
      <w:pPr>
        <w:widowControl w:val="0"/>
        <w:autoSpaceDE w:val="0"/>
        <w:autoSpaceDN w:val="0"/>
        <w:adjustRightInd w:val="0"/>
        <w:ind w:firstLine="360"/>
        <w:jc w:val="both"/>
        <w:rPr>
          <w:color w:val="000000"/>
          <w:sz w:val="24"/>
          <w:szCs w:val="24"/>
        </w:rPr>
      </w:pPr>
      <w:r>
        <w:rPr>
          <w:color w:val="000000"/>
        </w:rPr>
        <w:t>Plaintiffs Karen Goldberg and her seven children, Chana Goldberg, Esther Goldberg, Yitzhak Goldberg, Sh</w:t>
      </w:r>
      <w:r>
        <w:rPr>
          <w:color w:val="000000"/>
        </w:rPr>
        <w:t>o</w:t>
      </w:r>
      <w:r>
        <w:rPr>
          <w:color w:val="000000"/>
        </w:rPr>
        <w:t>shana Goldberg, Eliezer Goldberg, Yaakov Moshe Goldberg and Tzvi Yehoshua Goldberg, commenced this action against defendant bank UBS AG (“UBS”) on January 28, 2008. Plaintiffs bring claims under the civil remedy prov</w:t>
      </w:r>
      <w:r>
        <w:rPr>
          <w:color w:val="000000"/>
        </w:rPr>
        <w:t>i</w:t>
      </w:r>
      <w:r>
        <w:rPr>
          <w:color w:val="000000"/>
        </w:rPr>
        <w:t xml:space="preserve">sions of the Anti-Terrorism Act (“ATA”), </w:t>
      </w:r>
      <w:hyperlink r:id="rId75" w:history="1">
        <w:r>
          <w:rPr>
            <w:color w:val="0000FF"/>
            <w:u w:val="single"/>
          </w:rPr>
          <w:t>18 U.S.C. § 2333(a)</w:t>
        </w:r>
      </w:hyperlink>
      <w:r>
        <w:rPr>
          <w:color w:val="000000"/>
        </w:rPr>
        <w:t xml:space="preserve"> </w:t>
      </w:r>
      <w:hyperlink w:anchor="Document1zzB00112021482735" w:history="1">
        <w:r>
          <w:rPr>
            <w:color w:val="0000FF"/>
            <w:u w:val="single"/>
            <w:vertAlign w:val="superscript"/>
          </w:rPr>
          <w:t>FN1</w:t>
        </w:r>
      </w:hyperlink>
      <w:bookmarkStart w:id="15" w:name="Document1zzF00112021482735"/>
      <w:bookmarkEnd w:id="15"/>
      <w:r>
        <w:rPr>
          <w:color w:val="000000"/>
        </w:rPr>
        <w:t xml:space="preserve"> alleging that UBS is liable for: (1) aiding and abetting the murder or attempted murder of a United States citizen or causing the commission or attempted commi</w:t>
      </w:r>
      <w:r>
        <w:rPr>
          <w:color w:val="000000"/>
        </w:rPr>
        <w:t>s</w:t>
      </w:r>
      <w:r>
        <w:rPr>
          <w:color w:val="000000"/>
        </w:rPr>
        <w:t xml:space="preserve">sion of physical violence upon United States Citizens in violation of </w:t>
      </w:r>
      <w:hyperlink r:id="rId76" w:history="1">
        <w:r>
          <w:rPr>
            <w:color w:val="0000FF"/>
            <w:u w:val="single"/>
          </w:rPr>
          <w:t>18 U.S.C. § 2332(a)</w:t>
        </w:r>
      </w:hyperlink>
      <w:r>
        <w:rPr>
          <w:color w:val="000000"/>
        </w:rPr>
        <w:t>-</w:t>
      </w:r>
      <w:hyperlink r:id="rId77" w:history="1">
        <w:r>
          <w:rPr>
            <w:color w:val="0000FF"/>
            <w:u w:val="single"/>
          </w:rPr>
          <w:t>(c)</w:t>
        </w:r>
      </w:hyperlink>
      <w:r>
        <w:rPr>
          <w:color w:val="000000"/>
        </w:rPr>
        <w:t xml:space="preserve"> </w:t>
      </w:r>
      <w:hyperlink w:anchor="Document1zzB00222021482735" w:history="1">
        <w:r>
          <w:rPr>
            <w:color w:val="0000FF"/>
            <w:u w:val="single"/>
            <w:vertAlign w:val="superscript"/>
          </w:rPr>
          <w:t>FN2</w:t>
        </w:r>
      </w:hyperlink>
      <w:bookmarkStart w:id="16" w:name="Document1zzF00222021482735"/>
      <w:bookmarkEnd w:id="16"/>
      <w:r>
        <w:rPr>
          <w:color w:val="000000"/>
        </w:rPr>
        <w:t xml:space="preserve"> and </w:t>
      </w:r>
      <w:hyperlink r:id="rId78" w:history="1">
        <w:r>
          <w:rPr>
            <w:color w:val="0000FF"/>
            <w:u w:val="single"/>
          </w:rPr>
          <w:t>18 U.S.C. § 2333(a)</w:t>
        </w:r>
      </w:hyperlink>
      <w:r>
        <w:rPr>
          <w:color w:val="000000"/>
        </w:rPr>
        <w:t xml:space="preserve">; (2) committing acts of international terrorism in violation of </w:t>
      </w:r>
      <w:hyperlink r:id="rId79" w:history="1">
        <w:r>
          <w:rPr>
            <w:color w:val="0000FF"/>
            <w:u w:val="single"/>
          </w:rPr>
          <w:t>18 U.S.C. § 2339B(a)(1)</w:t>
        </w:r>
      </w:hyperlink>
      <w:r>
        <w:rPr>
          <w:color w:val="000000"/>
        </w:rPr>
        <w:t xml:space="preserve"> </w:t>
      </w:r>
      <w:hyperlink w:anchor="Document1zzB00332021482735" w:history="1">
        <w:r>
          <w:rPr>
            <w:color w:val="0000FF"/>
            <w:u w:val="single"/>
            <w:vertAlign w:val="superscript"/>
          </w:rPr>
          <w:t>FN3</w:t>
        </w:r>
      </w:hyperlink>
      <w:bookmarkStart w:id="17" w:name="Document1zzF00332021482735"/>
      <w:bookmarkEnd w:id="17"/>
      <w:r>
        <w:rPr>
          <w:color w:val="000000"/>
        </w:rPr>
        <w:t xml:space="preserve"> and </w:t>
      </w:r>
      <w:hyperlink r:id="rId80" w:history="1">
        <w:r>
          <w:rPr>
            <w:color w:val="0000FF"/>
            <w:u w:val="single"/>
          </w:rPr>
          <w:t>18 U.S.C. § 2333(a)</w:t>
        </w:r>
      </w:hyperlink>
      <w:r>
        <w:rPr>
          <w:color w:val="000000"/>
        </w:rPr>
        <w:t xml:space="preserve">; and (3) collecting and transmitting funds on behalf of a terrorist organization in violation of </w:t>
      </w:r>
      <w:hyperlink r:id="rId81" w:history="1">
        <w:r>
          <w:rPr>
            <w:color w:val="0000FF"/>
            <w:u w:val="single"/>
          </w:rPr>
          <w:t>18 U.S.C. § 2339C</w:t>
        </w:r>
      </w:hyperlink>
      <w:r>
        <w:rPr>
          <w:color w:val="000000"/>
        </w:rPr>
        <w:t xml:space="preserve"> </w:t>
      </w:r>
      <w:hyperlink w:anchor="Document1zzB00442021482735" w:history="1">
        <w:r>
          <w:rPr>
            <w:color w:val="0000FF"/>
            <w:u w:val="single"/>
            <w:vertAlign w:val="superscript"/>
          </w:rPr>
          <w:t>FN4</w:t>
        </w:r>
      </w:hyperlink>
      <w:bookmarkStart w:id="18" w:name="Document1zzF00442021482735"/>
      <w:bookmarkEnd w:id="18"/>
      <w:r>
        <w:rPr>
          <w:color w:val="000000"/>
        </w:rPr>
        <w:t xml:space="preserve"> and </w:t>
      </w:r>
      <w:hyperlink r:id="rId82" w:history="1">
        <w:r>
          <w:rPr>
            <w:color w:val="0000FF"/>
            <w:u w:val="single"/>
          </w:rPr>
          <w:t>18 U.S.C. § 2332(a)</w:t>
        </w:r>
      </w:hyperlink>
      <w:r>
        <w:rPr>
          <w:color w:val="000000"/>
        </w:rPr>
        <w:t>.</w:t>
      </w:r>
    </w:p>
    <w:p w14:paraId="232453DA" w14:textId="77777777" w:rsidR="003C7122" w:rsidRDefault="003C7122">
      <w:pPr>
        <w:widowControl w:val="0"/>
        <w:autoSpaceDE w:val="0"/>
        <w:autoSpaceDN w:val="0"/>
        <w:adjustRightInd w:val="0"/>
        <w:rPr>
          <w:color w:val="000000"/>
          <w:sz w:val="24"/>
          <w:szCs w:val="24"/>
        </w:rPr>
      </w:pPr>
    </w:p>
    <w:p w14:paraId="43B1A810" w14:textId="77777777" w:rsidR="003C7122" w:rsidRDefault="00D24980">
      <w:pPr>
        <w:widowControl w:val="0"/>
        <w:autoSpaceDE w:val="0"/>
        <w:autoSpaceDN w:val="0"/>
        <w:adjustRightInd w:val="0"/>
        <w:ind w:left="720"/>
        <w:jc w:val="both"/>
        <w:rPr>
          <w:color w:val="000000"/>
          <w:sz w:val="24"/>
          <w:szCs w:val="24"/>
        </w:rPr>
      </w:pPr>
      <w:hyperlink w:anchor="Document1zzF00112021482735" w:history="1">
        <w:r w:rsidR="00D75BF9">
          <w:rPr>
            <w:color w:val="0000FF"/>
            <w:u w:val="single"/>
          </w:rPr>
          <w:t>FN1.</w:t>
        </w:r>
      </w:hyperlink>
      <w:bookmarkStart w:id="19" w:name="Document1zzB00112021482735"/>
      <w:bookmarkEnd w:id="19"/>
      <w:r w:rsidR="00D75BF9">
        <w:rPr>
          <w:color w:val="000000"/>
        </w:rPr>
        <w:t xml:space="preserve"> </w:t>
      </w:r>
      <w:hyperlink r:id="rId83" w:history="1">
        <w:r w:rsidR="00D75BF9">
          <w:rPr>
            <w:color w:val="0000FF"/>
            <w:u w:val="single"/>
          </w:rPr>
          <w:t>18 U.S.C. § 2333(a)</w:t>
        </w:r>
      </w:hyperlink>
      <w:r w:rsidR="00D75BF9">
        <w:rPr>
          <w:color w:val="000000"/>
        </w:rPr>
        <w:t xml:space="preserve"> provides that “[</w:t>
      </w:r>
      <w:proofErr w:type="gramStart"/>
      <w:r w:rsidR="00D75BF9">
        <w:rPr>
          <w:color w:val="000000"/>
        </w:rPr>
        <w:t>a]ny</w:t>
      </w:r>
      <w:proofErr w:type="gramEnd"/>
      <w:r w:rsidR="00D75BF9">
        <w:rPr>
          <w:color w:val="000000"/>
        </w:rPr>
        <w:t xml:space="preserve"> national of the United States injured in his or her person, property, or business by reason of an act of international terrorism, or his or her estate, survivors, or heirs, may sue therefor in any appropriate district court of the United States and shall recover threefold the da</w:t>
      </w:r>
      <w:r w:rsidR="00D75BF9">
        <w:rPr>
          <w:color w:val="000000"/>
        </w:rPr>
        <w:t>m</w:t>
      </w:r>
      <w:r w:rsidR="00D75BF9">
        <w:rPr>
          <w:color w:val="000000"/>
        </w:rPr>
        <w:t>ages he or she sustains and the cost of the suit, including attorney's fees.”</w:t>
      </w:r>
    </w:p>
    <w:p w14:paraId="11894DCC" w14:textId="77777777" w:rsidR="003C7122" w:rsidRDefault="003C7122">
      <w:pPr>
        <w:widowControl w:val="0"/>
        <w:autoSpaceDE w:val="0"/>
        <w:autoSpaceDN w:val="0"/>
        <w:adjustRightInd w:val="0"/>
        <w:rPr>
          <w:color w:val="000000"/>
          <w:sz w:val="24"/>
          <w:szCs w:val="24"/>
        </w:rPr>
      </w:pPr>
    </w:p>
    <w:p w14:paraId="5B7A58BC" w14:textId="77777777" w:rsidR="003C7122" w:rsidRDefault="00D24980">
      <w:pPr>
        <w:widowControl w:val="0"/>
        <w:autoSpaceDE w:val="0"/>
        <w:autoSpaceDN w:val="0"/>
        <w:adjustRightInd w:val="0"/>
        <w:ind w:left="720"/>
        <w:jc w:val="both"/>
        <w:rPr>
          <w:color w:val="000000"/>
          <w:sz w:val="24"/>
          <w:szCs w:val="24"/>
        </w:rPr>
      </w:pPr>
      <w:hyperlink w:anchor="Document1zzF00222021482735" w:history="1">
        <w:r w:rsidR="00D75BF9">
          <w:rPr>
            <w:color w:val="0000FF"/>
            <w:u w:val="single"/>
          </w:rPr>
          <w:t>FN2.</w:t>
        </w:r>
      </w:hyperlink>
      <w:bookmarkStart w:id="20" w:name="Document1zzB00222021482735"/>
      <w:bookmarkEnd w:id="20"/>
      <w:r w:rsidR="00D75BF9">
        <w:rPr>
          <w:color w:val="000000"/>
        </w:rPr>
        <w:t xml:space="preserve"> </w:t>
      </w:r>
      <w:hyperlink r:id="rId84" w:history="1">
        <w:r w:rsidR="00D75BF9">
          <w:rPr>
            <w:color w:val="0000FF"/>
            <w:u w:val="single"/>
          </w:rPr>
          <w:t>18 U.S.C. § 2332(a)</w:t>
        </w:r>
      </w:hyperlink>
      <w:r w:rsidR="00D75BF9">
        <w:rPr>
          <w:color w:val="000000"/>
        </w:rPr>
        <w:t>-</w:t>
      </w:r>
      <w:hyperlink r:id="rId85" w:history="1">
        <w:r w:rsidR="00D75BF9">
          <w:rPr>
            <w:color w:val="0000FF"/>
            <w:u w:val="single"/>
          </w:rPr>
          <w:t>(c)</w:t>
        </w:r>
      </w:hyperlink>
      <w:r w:rsidR="00D75BF9">
        <w:rPr>
          <w:color w:val="000000"/>
        </w:rPr>
        <w:t xml:space="preserve"> provide criminal penalties for the killing or conspiracy to kill “a national of the United States, while such national is outside the United States,” and for “whoever outside the United States engages in physical violence ... with the result that serious bodily injury is caused to a national of the United States.”</w:t>
      </w:r>
    </w:p>
    <w:p w14:paraId="7FAB0507" w14:textId="77777777" w:rsidR="003C7122" w:rsidRDefault="003C7122">
      <w:pPr>
        <w:widowControl w:val="0"/>
        <w:autoSpaceDE w:val="0"/>
        <w:autoSpaceDN w:val="0"/>
        <w:adjustRightInd w:val="0"/>
        <w:rPr>
          <w:color w:val="000000"/>
          <w:sz w:val="24"/>
          <w:szCs w:val="24"/>
        </w:rPr>
      </w:pPr>
    </w:p>
    <w:p w14:paraId="5EECCA7D" w14:textId="77777777" w:rsidR="003C7122" w:rsidRDefault="00D24980">
      <w:pPr>
        <w:widowControl w:val="0"/>
        <w:autoSpaceDE w:val="0"/>
        <w:autoSpaceDN w:val="0"/>
        <w:adjustRightInd w:val="0"/>
        <w:ind w:left="720"/>
        <w:jc w:val="both"/>
        <w:rPr>
          <w:color w:val="000000"/>
          <w:sz w:val="24"/>
          <w:szCs w:val="24"/>
        </w:rPr>
      </w:pPr>
      <w:hyperlink w:anchor="Document1zzF00332021482735" w:history="1">
        <w:r w:rsidR="00D75BF9">
          <w:rPr>
            <w:color w:val="0000FF"/>
            <w:u w:val="single"/>
          </w:rPr>
          <w:t>FN3.</w:t>
        </w:r>
      </w:hyperlink>
      <w:bookmarkStart w:id="21" w:name="Document1zzB00332021482735"/>
      <w:bookmarkEnd w:id="21"/>
      <w:r w:rsidR="00D75BF9">
        <w:rPr>
          <w:color w:val="000000"/>
        </w:rPr>
        <w:t xml:space="preserve"> </w:t>
      </w:r>
      <w:hyperlink r:id="rId86" w:history="1">
        <w:r w:rsidR="00D75BF9">
          <w:rPr>
            <w:color w:val="0000FF"/>
            <w:u w:val="single"/>
          </w:rPr>
          <w:t>18 U.S.C. § 2339B(a)(1)</w:t>
        </w:r>
      </w:hyperlink>
      <w:r w:rsidR="00D75BF9">
        <w:rPr>
          <w:color w:val="000000"/>
        </w:rPr>
        <w:t xml:space="preserve"> provides criminal and civil penalties for “[</w:t>
      </w:r>
      <w:proofErr w:type="gramStart"/>
      <w:r w:rsidR="00D75BF9">
        <w:rPr>
          <w:color w:val="000000"/>
        </w:rPr>
        <w:t>w]hoever</w:t>
      </w:r>
      <w:proofErr w:type="gramEnd"/>
      <w:r w:rsidR="00D75BF9">
        <w:rPr>
          <w:color w:val="000000"/>
        </w:rPr>
        <w:t xml:space="preserve"> knowingly provides material support or resources to a foreign terrorist organization, or attempts or conspires to do so,” and r</w:t>
      </w:r>
      <w:r w:rsidR="00D75BF9">
        <w:rPr>
          <w:color w:val="000000"/>
        </w:rPr>
        <w:t>e</w:t>
      </w:r>
      <w:r w:rsidR="00D75BF9">
        <w:rPr>
          <w:color w:val="000000"/>
        </w:rPr>
        <w:t>quires that “[t]o violate this paragraph, a person must have knowledge that the organization is a designated terrorists organization ... that the organization has engaged or engages in terrorist activity ... or that the o</w:t>
      </w:r>
      <w:r w:rsidR="00D75BF9">
        <w:rPr>
          <w:color w:val="000000"/>
        </w:rPr>
        <w:t>r</w:t>
      </w:r>
      <w:r w:rsidR="00D75BF9">
        <w:rPr>
          <w:color w:val="000000"/>
        </w:rPr>
        <w:t>ganization has engaged or engages in terrorism.”</w:t>
      </w:r>
    </w:p>
    <w:p w14:paraId="3D20FB72" w14:textId="77777777" w:rsidR="003C7122" w:rsidRDefault="003C7122">
      <w:pPr>
        <w:widowControl w:val="0"/>
        <w:autoSpaceDE w:val="0"/>
        <w:autoSpaceDN w:val="0"/>
        <w:adjustRightInd w:val="0"/>
        <w:rPr>
          <w:color w:val="000000"/>
          <w:sz w:val="24"/>
          <w:szCs w:val="24"/>
        </w:rPr>
      </w:pPr>
    </w:p>
    <w:p w14:paraId="355B1CAE" w14:textId="77777777" w:rsidR="003C7122" w:rsidRDefault="00D24980">
      <w:pPr>
        <w:widowControl w:val="0"/>
        <w:autoSpaceDE w:val="0"/>
        <w:autoSpaceDN w:val="0"/>
        <w:adjustRightInd w:val="0"/>
        <w:ind w:left="720"/>
        <w:jc w:val="both"/>
        <w:rPr>
          <w:color w:val="000000"/>
          <w:sz w:val="24"/>
          <w:szCs w:val="24"/>
        </w:rPr>
      </w:pPr>
      <w:hyperlink w:anchor="Document1zzF00442021482735" w:history="1">
        <w:r w:rsidR="00D75BF9">
          <w:rPr>
            <w:color w:val="0000FF"/>
            <w:u w:val="single"/>
          </w:rPr>
          <w:t>FN4.</w:t>
        </w:r>
      </w:hyperlink>
      <w:bookmarkStart w:id="22" w:name="Document1zzB00442021482735"/>
      <w:bookmarkEnd w:id="22"/>
      <w:r w:rsidR="00D75BF9">
        <w:rPr>
          <w:color w:val="000000"/>
        </w:rPr>
        <w:t xml:space="preserve"> </w:t>
      </w:r>
      <w:hyperlink r:id="rId87" w:history="1">
        <w:r w:rsidR="00D75BF9">
          <w:rPr>
            <w:color w:val="0000FF"/>
            <w:u w:val="single"/>
          </w:rPr>
          <w:t>18 U.S.C. § 2339C</w:t>
        </w:r>
      </w:hyperlink>
      <w:r w:rsidR="00D75BF9">
        <w:rPr>
          <w:color w:val="000000"/>
        </w:rPr>
        <w:t xml:space="preserve"> provides criminal and civil penalties for whoever “by any means, directly or ind</w:t>
      </w:r>
      <w:r w:rsidR="00D75BF9">
        <w:rPr>
          <w:color w:val="000000"/>
        </w:rPr>
        <w:t>i</w:t>
      </w:r>
      <w:r w:rsidR="00D75BF9">
        <w:rPr>
          <w:color w:val="000000"/>
        </w:rPr>
        <w:t>rectly, unlawfully and willfully provides or collects funds with the intention that such funds be used, or with the knowledge that such funds are to be used, in full or in part, in order to carry out ... [an act] inten</w:t>
      </w:r>
      <w:r w:rsidR="00D75BF9">
        <w:rPr>
          <w:color w:val="000000"/>
        </w:rPr>
        <w:t>d</w:t>
      </w:r>
      <w:r w:rsidR="00D75BF9">
        <w:rPr>
          <w:color w:val="000000"/>
        </w:rPr>
        <w:t>ed to cause death or serious bodily injury to a civilian, or to any other person not taking an active part in the hostilities in a situation of armed conflict, when the purpose of such act, by its nature or context, is to inti</w:t>
      </w:r>
      <w:r w:rsidR="00D75BF9">
        <w:rPr>
          <w:color w:val="000000"/>
        </w:rPr>
        <w:t>m</w:t>
      </w:r>
      <w:r w:rsidR="00D75BF9">
        <w:rPr>
          <w:color w:val="000000"/>
        </w:rPr>
        <w:t>idate a population, or to compel a government or an international organization to do or to abstain from d</w:t>
      </w:r>
      <w:r w:rsidR="00D75BF9">
        <w:rPr>
          <w:color w:val="000000"/>
        </w:rPr>
        <w:t>o</w:t>
      </w:r>
      <w:r w:rsidR="00D75BF9">
        <w:rPr>
          <w:color w:val="000000"/>
        </w:rPr>
        <w:t>ing any act.”</w:t>
      </w:r>
    </w:p>
    <w:p w14:paraId="03681801" w14:textId="77777777" w:rsidR="003C7122" w:rsidRDefault="003C7122">
      <w:pPr>
        <w:widowControl w:val="0"/>
        <w:autoSpaceDE w:val="0"/>
        <w:autoSpaceDN w:val="0"/>
        <w:adjustRightInd w:val="0"/>
        <w:rPr>
          <w:color w:val="000000"/>
          <w:sz w:val="24"/>
          <w:szCs w:val="24"/>
        </w:rPr>
      </w:pPr>
    </w:p>
    <w:p w14:paraId="4B6D9B34" w14:textId="77777777" w:rsidR="003C7122" w:rsidRDefault="00D75BF9">
      <w:pPr>
        <w:widowControl w:val="0"/>
        <w:autoSpaceDE w:val="0"/>
        <w:autoSpaceDN w:val="0"/>
        <w:adjustRightInd w:val="0"/>
        <w:ind w:firstLine="360"/>
        <w:jc w:val="both"/>
        <w:rPr>
          <w:color w:val="000000"/>
          <w:sz w:val="24"/>
          <w:szCs w:val="24"/>
        </w:rPr>
      </w:pPr>
      <w:r>
        <w:rPr>
          <w:color w:val="000000"/>
        </w:rPr>
        <w:t>On November 3, 2008, defendant UBS moved to dismiss plaintiffs' Complaint on grounds of (1) lack of stan</w:t>
      </w:r>
      <w:r>
        <w:rPr>
          <w:color w:val="000000"/>
        </w:rPr>
        <w:t>d</w:t>
      </w:r>
      <w:r>
        <w:rPr>
          <w:color w:val="000000"/>
        </w:rPr>
        <w:t xml:space="preserve">ing; (2) </w:t>
      </w:r>
      <w:r>
        <w:rPr>
          <w:i/>
          <w:iCs/>
          <w:color w:val="000000"/>
        </w:rPr>
        <w:t>forum non conveniens;</w:t>
      </w:r>
      <w:r>
        <w:rPr>
          <w:color w:val="000000"/>
        </w:rPr>
        <w:t xml:space="preserve"> (3) unconstitutionality of the ATA </w:t>
      </w:r>
      <w:hyperlink w:anchor="Document1zzB00552021482735" w:history="1">
        <w:r>
          <w:rPr>
            <w:color w:val="0000FF"/>
            <w:u w:val="single"/>
            <w:vertAlign w:val="superscript"/>
          </w:rPr>
          <w:t>FN5</w:t>
        </w:r>
      </w:hyperlink>
      <w:bookmarkStart w:id="23" w:name="Document1zzF00552021482735"/>
      <w:bookmarkEnd w:id="23"/>
      <w:r>
        <w:rPr>
          <w:color w:val="000000"/>
        </w:rPr>
        <w:t xml:space="preserve"> as applied to UBS's conduct; and (4) failure to satisfy the pleading standards of </w:t>
      </w:r>
      <w:hyperlink r:id="rId88" w:history="1">
        <w:r>
          <w:rPr>
            <w:color w:val="0000FF"/>
            <w:u w:val="single"/>
          </w:rPr>
          <w:t>Federal Rule of Civil Procedure 8</w:t>
        </w:r>
      </w:hyperlink>
      <w:r>
        <w:rPr>
          <w:color w:val="000000"/>
        </w:rPr>
        <w:t>. By Order dated September 24, 2009 (“the Se</w:t>
      </w:r>
      <w:r>
        <w:rPr>
          <w:color w:val="000000"/>
        </w:rPr>
        <w:t>p</w:t>
      </w:r>
      <w:r>
        <w:rPr>
          <w:color w:val="000000"/>
        </w:rPr>
        <w:t xml:space="preserve">tember 24th Order”), Judge Sifton </w:t>
      </w:r>
      <w:hyperlink w:anchor="Document1zzB00662021482735" w:history="1">
        <w:r>
          <w:rPr>
            <w:color w:val="0000FF"/>
            <w:u w:val="single"/>
            <w:vertAlign w:val="superscript"/>
          </w:rPr>
          <w:t>FN6</w:t>
        </w:r>
      </w:hyperlink>
      <w:bookmarkStart w:id="24" w:name="Document1zzF00662021482735"/>
      <w:bookmarkEnd w:id="24"/>
      <w:r>
        <w:rPr>
          <w:color w:val="000000"/>
        </w:rPr>
        <w:t xml:space="preserve"> granted defendant UBS AG's motion to dismiss the first count of plaintiffs' Complaint (aiding and abetting a violation of </w:t>
      </w:r>
      <w:hyperlink r:id="rId89" w:history="1">
        <w:r>
          <w:rPr>
            <w:color w:val="0000FF"/>
            <w:u w:val="single"/>
          </w:rPr>
          <w:t>18 U.S.C. § 2332</w:t>
        </w:r>
      </w:hyperlink>
      <w:r>
        <w:rPr>
          <w:color w:val="000000"/>
        </w:rPr>
        <w:t xml:space="preserve">) </w:t>
      </w:r>
      <w:hyperlink w:anchor="Document1zzB00772021482735" w:history="1">
        <w:r>
          <w:rPr>
            <w:color w:val="0000FF"/>
            <w:u w:val="single"/>
            <w:vertAlign w:val="superscript"/>
          </w:rPr>
          <w:t>FN7</w:t>
        </w:r>
      </w:hyperlink>
      <w:bookmarkStart w:id="25" w:name="Document1zzF00772021482735"/>
      <w:bookmarkEnd w:id="25"/>
      <w:r>
        <w:rPr>
          <w:color w:val="000000"/>
        </w:rPr>
        <w:t>, and denied the motion in all other respects.</w:t>
      </w:r>
    </w:p>
    <w:p w14:paraId="46E8069D" w14:textId="77777777" w:rsidR="003C7122" w:rsidRDefault="003C7122">
      <w:pPr>
        <w:widowControl w:val="0"/>
        <w:autoSpaceDE w:val="0"/>
        <w:autoSpaceDN w:val="0"/>
        <w:adjustRightInd w:val="0"/>
        <w:rPr>
          <w:color w:val="000000"/>
          <w:sz w:val="24"/>
          <w:szCs w:val="24"/>
        </w:rPr>
      </w:pPr>
    </w:p>
    <w:p w14:paraId="4E527E04" w14:textId="77777777" w:rsidR="003C7122" w:rsidRDefault="00D24980">
      <w:pPr>
        <w:widowControl w:val="0"/>
        <w:autoSpaceDE w:val="0"/>
        <w:autoSpaceDN w:val="0"/>
        <w:adjustRightInd w:val="0"/>
        <w:ind w:left="720"/>
        <w:jc w:val="both"/>
        <w:rPr>
          <w:color w:val="000000"/>
          <w:sz w:val="24"/>
          <w:szCs w:val="24"/>
        </w:rPr>
      </w:pPr>
      <w:hyperlink w:anchor="Document1zzF00552021482735" w:history="1">
        <w:r w:rsidR="00D75BF9">
          <w:rPr>
            <w:color w:val="0000FF"/>
            <w:u w:val="single"/>
          </w:rPr>
          <w:t>FN5.</w:t>
        </w:r>
      </w:hyperlink>
      <w:bookmarkStart w:id="26" w:name="Document1zzB00552021482735"/>
      <w:bookmarkEnd w:id="26"/>
      <w:r w:rsidR="00D75BF9">
        <w:rPr>
          <w:color w:val="000000"/>
        </w:rPr>
        <w:t xml:space="preserve"> The Anti-Terrorism Act of 1990 (“ATA”) comprises </w:t>
      </w:r>
      <w:hyperlink r:id="rId90" w:history="1">
        <w:r w:rsidR="00D75BF9">
          <w:rPr>
            <w:color w:val="0000FF"/>
            <w:u w:val="single"/>
          </w:rPr>
          <w:t>§§ 2332</w:t>
        </w:r>
      </w:hyperlink>
      <w:r w:rsidR="00D75BF9">
        <w:rPr>
          <w:color w:val="000000"/>
        </w:rPr>
        <w:t>-</w:t>
      </w:r>
      <w:hyperlink r:id="rId91" w:history="1">
        <w:r w:rsidR="00D75BF9">
          <w:rPr>
            <w:color w:val="0000FF"/>
            <w:u w:val="single"/>
          </w:rPr>
          <w:t>2338 of title 18 of the U.S.Code</w:t>
        </w:r>
      </w:hyperlink>
      <w:r w:rsidR="00D75BF9">
        <w:rPr>
          <w:color w:val="000000"/>
        </w:rPr>
        <w:t>, e</w:t>
      </w:r>
      <w:r w:rsidR="00D75BF9">
        <w:rPr>
          <w:color w:val="000000"/>
        </w:rPr>
        <w:t>x</w:t>
      </w:r>
      <w:r w:rsidR="00D75BF9">
        <w:rPr>
          <w:color w:val="000000"/>
        </w:rPr>
        <w:t>cluding sections 2332a-h. The Act was enacted in 1990, repealed for technical reasons in 1991 and reenac</w:t>
      </w:r>
      <w:r w:rsidR="00D75BF9">
        <w:rPr>
          <w:color w:val="000000"/>
        </w:rPr>
        <w:t>t</w:t>
      </w:r>
      <w:r w:rsidR="00D75BF9">
        <w:rPr>
          <w:color w:val="000000"/>
        </w:rPr>
        <w:t xml:space="preserve">ed virtually unchanged as part of the Federal Courts Administration Act of 1992. </w:t>
      </w:r>
      <w:r w:rsidR="00D75BF9">
        <w:rPr>
          <w:i/>
          <w:iCs/>
          <w:color w:val="000000"/>
        </w:rPr>
        <w:t>See</w:t>
      </w:r>
      <w:r w:rsidR="00D75BF9">
        <w:rPr>
          <w:color w:val="000000"/>
        </w:rPr>
        <w:t xml:space="preserve"> </w:t>
      </w:r>
      <w:hyperlink r:id="rId92" w:history="1">
        <w:r w:rsidR="00D75BF9">
          <w:rPr>
            <w:color w:val="0000FF"/>
            <w:u w:val="single"/>
          </w:rPr>
          <w:t>Pub. L. No. 102-572, § 1003, 106 Stat. 4506</w:t>
        </w:r>
      </w:hyperlink>
      <w:r w:rsidR="00D75BF9">
        <w:rPr>
          <w:color w:val="000000"/>
        </w:rPr>
        <w:t xml:space="preserve">, 4521-24 (1992). </w:t>
      </w:r>
      <w:proofErr w:type="gramStart"/>
      <w:r w:rsidR="00D75BF9">
        <w:rPr>
          <w:color w:val="000000"/>
        </w:rPr>
        <w:t>The related provisions in § 2332a-h and §§ 2339-2339D were e</w:t>
      </w:r>
      <w:r w:rsidR="00D75BF9">
        <w:rPr>
          <w:color w:val="000000"/>
        </w:rPr>
        <w:t>n</w:t>
      </w:r>
      <w:r w:rsidR="00D75BF9">
        <w:rPr>
          <w:color w:val="000000"/>
        </w:rPr>
        <w:t xml:space="preserve">acted by various other laws, including the Anti-Terrorism and Effective Death Penalty Act (“AEDPA”), </w:t>
      </w:r>
      <w:hyperlink r:id="rId93" w:history="1">
        <w:r w:rsidR="00D75BF9">
          <w:rPr>
            <w:color w:val="0000FF"/>
            <w:u w:val="single"/>
          </w:rPr>
          <w:t>Pub</w:t>
        </w:r>
        <w:proofErr w:type="gramEnd"/>
        <w:r w:rsidR="00D75BF9">
          <w:rPr>
            <w:color w:val="0000FF"/>
            <w:u w:val="single"/>
          </w:rPr>
          <w:t>. L. No. 104-132, 110 Stat. 1214 (1996)</w:t>
        </w:r>
      </w:hyperlink>
      <w:r w:rsidR="00D75BF9">
        <w:rPr>
          <w:color w:val="000000"/>
        </w:rPr>
        <w:t>, and the Uniting and Strengthening America by Providing A</w:t>
      </w:r>
      <w:r w:rsidR="00D75BF9">
        <w:rPr>
          <w:color w:val="000000"/>
        </w:rPr>
        <w:t>p</w:t>
      </w:r>
      <w:r w:rsidR="00D75BF9">
        <w:rPr>
          <w:color w:val="000000"/>
        </w:rPr>
        <w:t xml:space="preserve">propriate Tools Required to Intercept and Obstruct Terrorism Act of 2001 (“USA PATRIOT Act”), </w:t>
      </w:r>
      <w:hyperlink r:id="rId94" w:history="1">
        <w:r w:rsidR="00D75BF9">
          <w:rPr>
            <w:color w:val="0000FF"/>
            <w:u w:val="single"/>
          </w:rPr>
          <w:t>Pub. L. No. 107-56, 115 Stat. 272 (2001).</w:t>
        </w:r>
      </w:hyperlink>
      <w:r w:rsidR="00D75BF9">
        <w:rPr>
          <w:color w:val="000000"/>
        </w:rPr>
        <w:t xml:space="preserve"> For simplicity's sake, this opinion refers to all of these provisions colle</w:t>
      </w:r>
      <w:r w:rsidR="00D75BF9">
        <w:rPr>
          <w:color w:val="000000"/>
        </w:rPr>
        <w:t>c</w:t>
      </w:r>
      <w:r w:rsidR="00D75BF9">
        <w:rPr>
          <w:color w:val="000000"/>
        </w:rPr>
        <w:t>tively as “the ATA.”</w:t>
      </w:r>
    </w:p>
    <w:p w14:paraId="4DB93625" w14:textId="77777777" w:rsidR="003C7122" w:rsidRDefault="003C7122">
      <w:pPr>
        <w:widowControl w:val="0"/>
        <w:autoSpaceDE w:val="0"/>
        <w:autoSpaceDN w:val="0"/>
        <w:adjustRightInd w:val="0"/>
        <w:rPr>
          <w:color w:val="000000"/>
          <w:sz w:val="24"/>
          <w:szCs w:val="24"/>
        </w:rPr>
      </w:pPr>
    </w:p>
    <w:p w14:paraId="555F0959" w14:textId="77777777" w:rsidR="003C7122" w:rsidRDefault="00D24980">
      <w:pPr>
        <w:widowControl w:val="0"/>
        <w:autoSpaceDE w:val="0"/>
        <w:autoSpaceDN w:val="0"/>
        <w:adjustRightInd w:val="0"/>
        <w:ind w:left="720"/>
        <w:jc w:val="both"/>
        <w:rPr>
          <w:color w:val="000000"/>
          <w:sz w:val="24"/>
          <w:szCs w:val="24"/>
        </w:rPr>
      </w:pPr>
      <w:hyperlink w:anchor="Document1zzF00662021482735" w:history="1">
        <w:r w:rsidR="00D75BF9">
          <w:rPr>
            <w:color w:val="0000FF"/>
            <w:u w:val="single"/>
          </w:rPr>
          <w:t>FN6.</w:t>
        </w:r>
      </w:hyperlink>
      <w:bookmarkStart w:id="27" w:name="Document1zzB00662021482735"/>
      <w:bookmarkEnd w:id="27"/>
      <w:r w:rsidR="00D75BF9">
        <w:rPr>
          <w:color w:val="000000"/>
        </w:rPr>
        <w:t xml:space="preserve"> This matter was originally assigned to the late Judge Charles P. Sifton. It was transferred to the u</w:t>
      </w:r>
      <w:r w:rsidR="00D75BF9">
        <w:rPr>
          <w:color w:val="000000"/>
        </w:rPr>
        <w:t>n</w:t>
      </w:r>
      <w:r w:rsidR="00D75BF9">
        <w:rPr>
          <w:color w:val="000000"/>
        </w:rPr>
        <w:t>dersigned on November 24, 2009.</w:t>
      </w:r>
    </w:p>
    <w:p w14:paraId="39F6885A" w14:textId="77777777" w:rsidR="003C7122" w:rsidRDefault="003C7122">
      <w:pPr>
        <w:widowControl w:val="0"/>
        <w:autoSpaceDE w:val="0"/>
        <w:autoSpaceDN w:val="0"/>
        <w:adjustRightInd w:val="0"/>
        <w:rPr>
          <w:color w:val="000000"/>
          <w:sz w:val="24"/>
          <w:szCs w:val="24"/>
        </w:rPr>
      </w:pPr>
    </w:p>
    <w:p w14:paraId="41D9C98D" w14:textId="77777777" w:rsidR="003C7122" w:rsidRDefault="00D24980">
      <w:pPr>
        <w:widowControl w:val="0"/>
        <w:autoSpaceDE w:val="0"/>
        <w:autoSpaceDN w:val="0"/>
        <w:adjustRightInd w:val="0"/>
        <w:ind w:left="720"/>
        <w:jc w:val="both"/>
        <w:rPr>
          <w:color w:val="000000"/>
          <w:sz w:val="24"/>
          <w:szCs w:val="24"/>
        </w:rPr>
      </w:pPr>
      <w:hyperlink w:anchor="Document1zzF00772021482735" w:history="1">
        <w:r w:rsidR="00D75BF9">
          <w:rPr>
            <w:color w:val="0000FF"/>
            <w:u w:val="single"/>
          </w:rPr>
          <w:t>FN7.</w:t>
        </w:r>
      </w:hyperlink>
      <w:bookmarkStart w:id="28" w:name="Document1zzB00772021482735"/>
      <w:bookmarkEnd w:id="28"/>
      <w:r w:rsidR="00D75BF9">
        <w:rPr>
          <w:color w:val="000000"/>
        </w:rPr>
        <w:t xml:space="preserve"> Judge Sifton dismissed the first count of the Complaint, concluding that, even assuming aiding and abetting liability was available under the ATA, plaintiffs had failed to sufficiently plead such a claim b</w:t>
      </w:r>
      <w:r w:rsidR="00D75BF9">
        <w:rPr>
          <w:color w:val="000000"/>
        </w:rPr>
        <w:t>e</w:t>
      </w:r>
      <w:r w:rsidR="00D75BF9">
        <w:rPr>
          <w:color w:val="000000"/>
        </w:rPr>
        <w:t xml:space="preserve">cause: (1) </w:t>
      </w:r>
      <w:hyperlink r:id="rId95" w:history="1">
        <w:r w:rsidR="00D75BF9">
          <w:rPr>
            <w:color w:val="0000FF"/>
            <w:u w:val="single"/>
          </w:rPr>
          <w:t>18 U.S.C. § 2332</w:t>
        </w:r>
      </w:hyperlink>
      <w:r w:rsidR="00D75BF9">
        <w:rPr>
          <w:color w:val="000000"/>
        </w:rPr>
        <w:t xml:space="preserve"> was inapplicable as the deceased victim, Stuart Goldberg was not a “national of the United States”; and (2) plaintiffs had not pled facts sufficient to show “substantial assistance” as r</w:t>
      </w:r>
      <w:r w:rsidR="00D75BF9">
        <w:rPr>
          <w:color w:val="000000"/>
        </w:rPr>
        <w:t>e</w:t>
      </w:r>
      <w:r w:rsidR="00D75BF9">
        <w:rPr>
          <w:color w:val="000000"/>
        </w:rPr>
        <w:t xml:space="preserve">quired for aiding and abetting liability. </w:t>
      </w:r>
      <w:hyperlink r:id="rId96" w:history="1">
        <w:proofErr w:type="gramStart"/>
        <w:r w:rsidR="00D75BF9">
          <w:rPr>
            <w:i/>
            <w:iCs/>
            <w:color w:val="0000FF"/>
            <w:u w:val="single"/>
          </w:rPr>
          <w:t>Goldberg,</w:t>
        </w:r>
      </w:hyperlink>
      <w:hyperlink r:id="rId97" w:history="1">
        <w:r w:rsidR="00D75BF9">
          <w:rPr>
            <w:color w:val="0000FF"/>
            <w:u w:val="single"/>
          </w:rPr>
          <w:t xml:space="preserve"> 660 F.Supp.2d at 425-27</w:t>
        </w:r>
      </w:hyperlink>
      <w:r w:rsidR="00D75BF9">
        <w:rPr>
          <w:color w:val="000000"/>
        </w:rPr>
        <w:t>.</w:t>
      </w:r>
      <w:proofErr w:type="gramEnd"/>
    </w:p>
    <w:p w14:paraId="5B15EC6E" w14:textId="77777777" w:rsidR="003C7122" w:rsidRDefault="003C7122">
      <w:pPr>
        <w:widowControl w:val="0"/>
        <w:autoSpaceDE w:val="0"/>
        <w:autoSpaceDN w:val="0"/>
        <w:adjustRightInd w:val="0"/>
        <w:rPr>
          <w:color w:val="000000"/>
          <w:sz w:val="24"/>
          <w:szCs w:val="24"/>
        </w:rPr>
      </w:pPr>
    </w:p>
    <w:p w14:paraId="731C195D" w14:textId="77777777" w:rsidR="003C7122" w:rsidRDefault="00D75BF9">
      <w:pPr>
        <w:widowControl w:val="0"/>
        <w:autoSpaceDE w:val="0"/>
        <w:autoSpaceDN w:val="0"/>
        <w:adjustRightInd w:val="0"/>
        <w:ind w:firstLine="360"/>
        <w:jc w:val="both"/>
        <w:rPr>
          <w:color w:val="000000"/>
          <w:sz w:val="24"/>
          <w:szCs w:val="24"/>
        </w:rPr>
      </w:pPr>
      <w:r>
        <w:rPr>
          <w:color w:val="000000"/>
        </w:rPr>
        <w:t>Two motions are currently pending before this court. On October 8, 2009, defendant UBS moved for reconsi</w:t>
      </w:r>
      <w:r>
        <w:rPr>
          <w:color w:val="000000"/>
        </w:rPr>
        <w:t>d</w:t>
      </w:r>
      <w:r>
        <w:rPr>
          <w:color w:val="000000"/>
        </w:rPr>
        <w:t xml:space="preserve">eration of the portion of Judge Sifton's September 24, 2009 Order declining to dismiss plaintiffs' Complaint on </w:t>
      </w:r>
      <w:r>
        <w:rPr>
          <w:i/>
          <w:iCs/>
          <w:color w:val="000000"/>
        </w:rPr>
        <w:t>f</w:t>
      </w:r>
      <w:r>
        <w:rPr>
          <w:i/>
          <w:iCs/>
          <w:color w:val="000000"/>
        </w:rPr>
        <w:t>o</w:t>
      </w:r>
      <w:r>
        <w:rPr>
          <w:i/>
          <w:iCs/>
          <w:color w:val="000000"/>
        </w:rPr>
        <w:t xml:space="preserve">rum </w:t>
      </w:r>
      <w:proofErr w:type="gramStart"/>
      <w:r>
        <w:rPr>
          <w:i/>
          <w:iCs/>
          <w:color w:val="000000"/>
        </w:rPr>
        <w:t>non conveniens</w:t>
      </w:r>
      <w:proofErr w:type="gramEnd"/>
      <w:r>
        <w:rPr>
          <w:color w:val="000000"/>
        </w:rPr>
        <w:t xml:space="preserve"> grounds. On October 21, 2009, defendants moved to certify the September 24th Order for inte</w:t>
      </w:r>
      <w:r>
        <w:rPr>
          <w:color w:val="000000"/>
        </w:rPr>
        <w:t>r</w:t>
      </w:r>
      <w:r>
        <w:rPr>
          <w:color w:val="000000"/>
        </w:rPr>
        <w:t>locutory appeal. For the reasons set forth below, both motions are denied.</w:t>
      </w:r>
    </w:p>
    <w:p w14:paraId="18060A16" w14:textId="77777777" w:rsidR="003C7122" w:rsidRDefault="003C7122">
      <w:pPr>
        <w:widowControl w:val="0"/>
        <w:autoSpaceDE w:val="0"/>
        <w:autoSpaceDN w:val="0"/>
        <w:adjustRightInd w:val="0"/>
        <w:rPr>
          <w:color w:val="000000"/>
          <w:sz w:val="24"/>
          <w:szCs w:val="24"/>
        </w:rPr>
      </w:pPr>
    </w:p>
    <w:p w14:paraId="3ABDA6DD" w14:textId="77777777" w:rsidR="003C7122" w:rsidRDefault="00D75BF9">
      <w:pPr>
        <w:widowControl w:val="0"/>
        <w:autoSpaceDE w:val="0"/>
        <w:autoSpaceDN w:val="0"/>
        <w:adjustRightInd w:val="0"/>
        <w:jc w:val="center"/>
        <w:rPr>
          <w:color w:val="000000"/>
          <w:sz w:val="24"/>
          <w:szCs w:val="24"/>
        </w:rPr>
      </w:pPr>
      <w:r>
        <w:rPr>
          <w:b/>
          <w:bCs/>
          <w:color w:val="000000"/>
        </w:rPr>
        <w:t>BACKGROUND</w:t>
      </w:r>
    </w:p>
    <w:p w14:paraId="18B740F5"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Familiarity with the factual background of this matter is presumed based on the record of proceedings before Judge Sifton. For a description of the facts of this case, </w:t>
      </w:r>
      <w:r>
        <w:rPr>
          <w:i/>
          <w:iCs/>
          <w:color w:val="000000"/>
        </w:rPr>
        <w:t xml:space="preserve">see </w:t>
      </w:r>
      <w:hyperlink r:id="rId98" w:history="1">
        <w:r>
          <w:rPr>
            <w:i/>
            <w:iCs/>
            <w:color w:val="0000FF"/>
            <w:u w:val="single"/>
          </w:rPr>
          <w:t>Goldberg v. UBS AG,</w:t>
        </w:r>
      </w:hyperlink>
      <w:hyperlink r:id="rId99" w:history="1">
        <w:r>
          <w:rPr>
            <w:color w:val="0000FF"/>
            <w:u w:val="single"/>
          </w:rPr>
          <w:t xml:space="preserve"> 660 F.Supp.2d 410 (E.D.N.Y.2009)</w:t>
        </w:r>
      </w:hyperlink>
      <w:r>
        <w:rPr>
          <w:color w:val="000000"/>
        </w:rPr>
        <w:t>.</w:t>
      </w:r>
    </w:p>
    <w:p w14:paraId="4943B438" w14:textId="77777777" w:rsidR="003C7122" w:rsidRDefault="003C7122">
      <w:pPr>
        <w:widowControl w:val="0"/>
        <w:autoSpaceDE w:val="0"/>
        <w:autoSpaceDN w:val="0"/>
        <w:adjustRightInd w:val="0"/>
        <w:rPr>
          <w:color w:val="000000"/>
          <w:sz w:val="24"/>
          <w:szCs w:val="24"/>
        </w:rPr>
      </w:pPr>
    </w:p>
    <w:p w14:paraId="4565B18B" w14:textId="77777777" w:rsidR="003C7122" w:rsidRDefault="00D75BF9">
      <w:pPr>
        <w:widowControl w:val="0"/>
        <w:autoSpaceDE w:val="0"/>
        <w:autoSpaceDN w:val="0"/>
        <w:adjustRightInd w:val="0"/>
        <w:jc w:val="center"/>
        <w:rPr>
          <w:color w:val="000000"/>
          <w:sz w:val="24"/>
          <w:szCs w:val="24"/>
        </w:rPr>
      </w:pPr>
      <w:r>
        <w:rPr>
          <w:b/>
          <w:bCs/>
          <w:color w:val="000000"/>
        </w:rPr>
        <w:t>DISCUSSION</w:t>
      </w:r>
    </w:p>
    <w:p w14:paraId="6958FC3B" w14:textId="77777777" w:rsidR="003C7122" w:rsidRDefault="00D75BF9">
      <w:pPr>
        <w:widowControl w:val="0"/>
        <w:autoSpaceDE w:val="0"/>
        <w:autoSpaceDN w:val="0"/>
        <w:adjustRightInd w:val="0"/>
        <w:jc w:val="center"/>
        <w:rPr>
          <w:color w:val="000000"/>
          <w:sz w:val="24"/>
          <w:szCs w:val="24"/>
        </w:rPr>
      </w:pPr>
      <w:r>
        <w:rPr>
          <w:b/>
          <w:bCs/>
          <w:color w:val="000000"/>
        </w:rPr>
        <w:t>(1)</w:t>
      </w:r>
    </w:p>
    <w:p w14:paraId="15D1625D" w14:textId="77777777" w:rsidR="003C7122" w:rsidRDefault="00D75BF9">
      <w:pPr>
        <w:widowControl w:val="0"/>
        <w:autoSpaceDE w:val="0"/>
        <w:autoSpaceDN w:val="0"/>
        <w:adjustRightInd w:val="0"/>
        <w:jc w:val="center"/>
        <w:rPr>
          <w:color w:val="000000"/>
          <w:sz w:val="24"/>
          <w:szCs w:val="24"/>
        </w:rPr>
      </w:pPr>
      <w:r>
        <w:rPr>
          <w:b/>
          <w:bCs/>
          <w:color w:val="000000"/>
        </w:rPr>
        <w:t>Motion for Reconsideration</w:t>
      </w:r>
    </w:p>
    <w:p w14:paraId="1CB75816" w14:textId="77777777" w:rsidR="003C7122" w:rsidRDefault="00D75BF9">
      <w:pPr>
        <w:widowControl w:val="0"/>
        <w:autoSpaceDE w:val="0"/>
        <w:autoSpaceDN w:val="0"/>
        <w:adjustRightInd w:val="0"/>
        <w:jc w:val="both"/>
        <w:rPr>
          <w:color w:val="000000"/>
          <w:sz w:val="24"/>
          <w:szCs w:val="24"/>
        </w:rPr>
      </w:pPr>
      <w:r>
        <w:rPr>
          <w:b/>
          <w:bCs/>
          <w:color w:val="000000"/>
        </w:rPr>
        <w:t>a. Standard for Reconsideration</w:t>
      </w:r>
    </w:p>
    <w:p w14:paraId="40BB16B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Civil motions for reconsideration in this District are governed by the analogous standards imposed by </w:t>
      </w:r>
      <w:hyperlink r:id="rId100" w:history="1">
        <w:r>
          <w:rPr>
            <w:color w:val="0000FF"/>
            <w:u w:val="single"/>
          </w:rPr>
          <w:t>Federal Rule of Civil Procedure 59(e)</w:t>
        </w:r>
      </w:hyperlink>
      <w:r>
        <w:rPr>
          <w:color w:val="000000"/>
        </w:rPr>
        <w:t xml:space="preserve"> and Local Civil Rule 6.3. </w:t>
      </w:r>
      <w:hyperlink r:id="rId101" w:history="1">
        <w:r>
          <w:rPr>
            <w:i/>
            <w:iCs/>
            <w:color w:val="0000FF"/>
            <w:u w:val="single"/>
          </w:rPr>
          <w:t>U.S. v. James,</w:t>
        </w:r>
      </w:hyperlink>
      <w:hyperlink r:id="rId102" w:history="1">
        <w:r>
          <w:rPr>
            <w:color w:val="0000FF"/>
            <w:u w:val="single"/>
          </w:rPr>
          <w:t xml:space="preserve"> No. 02 CV 0778, 2007 WL 914242, at *3 (E.D.N.Y. Mar. 21, 2007)</w:t>
        </w:r>
      </w:hyperlink>
      <w:r>
        <w:rPr>
          <w:color w:val="000000"/>
        </w:rPr>
        <w:t xml:space="preserve">. “The standard for granting [a motion for reconsideration] is strict, and reconsideration will generally be denied unless the moving party can point to controlling decisions or data that the court overlooked-matters, in other words, that might reasonably be expected to alter the conclusions reached by the court.” </w:t>
      </w:r>
      <w:hyperlink r:id="rId103" w:history="1">
        <w:proofErr w:type="gramStart"/>
        <w:r>
          <w:rPr>
            <w:i/>
            <w:iCs/>
            <w:color w:val="0000FF"/>
            <w:u w:val="single"/>
          </w:rPr>
          <w:t>Shrader v. CSX Transp.,</w:t>
        </w:r>
      </w:hyperlink>
      <w:hyperlink r:id="rId104" w:history="1">
        <w:r>
          <w:rPr>
            <w:color w:val="0000FF"/>
            <w:u w:val="single"/>
          </w:rPr>
          <w:t xml:space="preserve"> 70 F.3d 255, 257 (2d Cir.1995)</w:t>
        </w:r>
      </w:hyperlink>
      <w:r>
        <w:rPr>
          <w:color w:val="000000"/>
        </w:rPr>
        <w:t>.</w:t>
      </w:r>
      <w:proofErr w:type="gramEnd"/>
      <w:r>
        <w:rPr>
          <w:color w:val="000000"/>
        </w:rPr>
        <w:t xml:space="preserve"> Reconsideration is also appropriate if there is an intervening change of controlling law, new evidence or the need to correct a clear error or prevent manifest injustice. </w:t>
      </w:r>
      <w:hyperlink r:id="rId105" w:history="1">
        <w:r>
          <w:rPr>
            <w:i/>
            <w:iCs/>
            <w:color w:val="0000FF"/>
            <w:u w:val="single"/>
          </w:rPr>
          <w:t>Doe v. New York City Dep't of Social Servs</w:t>
        </w:r>
        <w:proofErr w:type="gramStart"/>
        <w:r>
          <w:rPr>
            <w:i/>
            <w:iCs/>
            <w:color w:val="0000FF"/>
            <w:u w:val="single"/>
          </w:rPr>
          <w:t>.,</w:t>
        </w:r>
        <w:proofErr w:type="gramEnd"/>
      </w:hyperlink>
      <w:hyperlink r:id="rId106" w:history="1">
        <w:r>
          <w:rPr>
            <w:color w:val="0000FF"/>
            <w:u w:val="single"/>
          </w:rPr>
          <w:t xml:space="preserve"> 709 F.2d 782, 789 (2d Cir.1983)</w:t>
        </w:r>
      </w:hyperlink>
      <w:r>
        <w:rPr>
          <w:color w:val="000000"/>
        </w:rPr>
        <w:t xml:space="preserve">; </w:t>
      </w:r>
      <w:hyperlink r:id="rId107" w:history="1">
        <w:r>
          <w:rPr>
            <w:i/>
            <w:iCs/>
            <w:color w:val="0000FF"/>
            <w:u w:val="single"/>
          </w:rPr>
          <w:t>Bay Casino, LLC v. M/V Royal Empress,</w:t>
        </w:r>
      </w:hyperlink>
      <w:hyperlink r:id="rId108" w:history="1">
        <w:r>
          <w:rPr>
            <w:color w:val="0000FF"/>
            <w:u w:val="single"/>
          </w:rPr>
          <w:t xml:space="preserve"> No. 98-CV-2333 (SJ), 1998 WL 566772, at *1 (E.D.N.Y. Aug. 21, 1998)</w:t>
        </w:r>
      </w:hyperlink>
      <w:r>
        <w:rPr>
          <w:color w:val="000000"/>
        </w:rPr>
        <w:t>.</w:t>
      </w:r>
    </w:p>
    <w:p w14:paraId="64633256" w14:textId="77777777" w:rsidR="003C7122" w:rsidRDefault="003C7122">
      <w:pPr>
        <w:widowControl w:val="0"/>
        <w:autoSpaceDE w:val="0"/>
        <w:autoSpaceDN w:val="0"/>
        <w:adjustRightInd w:val="0"/>
        <w:rPr>
          <w:color w:val="000000"/>
          <w:sz w:val="24"/>
          <w:szCs w:val="24"/>
        </w:rPr>
      </w:pPr>
    </w:p>
    <w:p w14:paraId="4C8EEE80" w14:textId="77777777" w:rsidR="003C7122" w:rsidRDefault="00D24980">
      <w:pPr>
        <w:widowControl w:val="0"/>
        <w:autoSpaceDE w:val="0"/>
        <w:autoSpaceDN w:val="0"/>
        <w:adjustRightInd w:val="0"/>
        <w:ind w:firstLine="360"/>
        <w:jc w:val="both"/>
        <w:rPr>
          <w:color w:val="000000"/>
          <w:sz w:val="24"/>
          <w:szCs w:val="24"/>
        </w:rPr>
      </w:pPr>
      <w:hyperlink r:id="rId109" w:history="1">
        <w:r w:rsidR="00D75BF9">
          <w:rPr>
            <w:color w:val="0000FF"/>
            <w:u w:val="single"/>
          </w:rPr>
          <w:t>Local Civil Rule 6.3</w:t>
        </w:r>
      </w:hyperlink>
      <w:r w:rsidR="00D75BF9">
        <w:rPr>
          <w:color w:val="000000"/>
        </w:rPr>
        <w:t xml:space="preserve"> is to be narrowly construed and strictly applied so as to avoid repetitive arguments on i</w:t>
      </w:r>
      <w:r w:rsidR="00D75BF9">
        <w:rPr>
          <w:color w:val="000000"/>
        </w:rPr>
        <w:t>s</w:t>
      </w:r>
      <w:r w:rsidR="00D75BF9">
        <w:rPr>
          <w:color w:val="000000"/>
        </w:rPr>
        <w:t xml:space="preserve">sues that have been fully considered. </w:t>
      </w:r>
      <w:r w:rsidR="00D75BF9">
        <w:rPr>
          <w:i/>
          <w:iCs/>
          <w:color w:val="000000"/>
        </w:rPr>
        <w:t xml:space="preserve">See </w:t>
      </w:r>
      <w:hyperlink r:id="rId110" w:history="1">
        <w:r w:rsidR="00D75BF9">
          <w:rPr>
            <w:i/>
            <w:iCs/>
            <w:color w:val="0000FF"/>
            <w:u w:val="single"/>
          </w:rPr>
          <w:t>Caleb &amp; Co. v. E.I. Du Pont De Nemours &amp; Co.,</w:t>
        </w:r>
      </w:hyperlink>
      <w:hyperlink r:id="rId111" w:history="1">
        <w:r w:rsidR="00D75BF9">
          <w:rPr>
            <w:color w:val="0000FF"/>
            <w:u w:val="single"/>
          </w:rPr>
          <w:t xml:space="preserve"> 624 F.Supp. </w:t>
        </w:r>
        <w:proofErr w:type="gramStart"/>
        <w:r w:rsidR="00D75BF9">
          <w:rPr>
            <w:color w:val="0000FF"/>
            <w:u w:val="single"/>
          </w:rPr>
          <w:t>747, 748 (S.D.N.Y.1985)</w:t>
        </w:r>
      </w:hyperlink>
      <w:r w:rsidR="00D75BF9">
        <w:rPr>
          <w:color w:val="000000"/>
        </w:rPr>
        <w:t>.</w:t>
      </w:r>
      <w:proofErr w:type="gramEnd"/>
      <w:r w:rsidR="00D75BF9">
        <w:rPr>
          <w:color w:val="000000"/>
        </w:rPr>
        <w:t xml:space="preserve"> In deciding a Local Rule 6.3 motion, courts will not allow a party to use the motion as a substitute for an appeal from a final judgment. </w:t>
      </w:r>
      <w:r w:rsidR="00D75BF9">
        <w:rPr>
          <w:i/>
          <w:iCs/>
          <w:color w:val="000000"/>
        </w:rPr>
        <w:t xml:space="preserve">See </w:t>
      </w:r>
      <w:hyperlink r:id="rId112" w:history="1">
        <w:r w:rsidR="00D75BF9">
          <w:rPr>
            <w:i/>
            <w:iCs/>
            <w:color w:val="0000FF"/>
            <w:u w:val="single"/>
          </w:rPr>
          <w:t>Morser v. A.T. &amp; T. Info. Sys</w:t>
        </w:r>
        <w:proofErr w:type="gramStart"/>
        <w:r w:rsidR="00D75BF9">
          <w:rPr>
            <w:i/>
            <w:iCs/>
            <w:color w:val="0000FF"/>
            <w:u w:val="single"/>
          </w:rPr>
          <w:t>.,</w:t>
        </w:r>
        <w:proofErr w:type="gramEnd"/>
      </w:hyperlink>
      <w:hyperlink r:id="rId113" w:history="1">
        <w:r w:rsidR="00D75BF9">
          <w:rPr>
            <w:color w:val="0000FF"/>
            <w:u w:val="single"/>
          </w:rPr>
          <w:t xml:space="preserve"> 715 F.Supp. </w:t>
        </w:r>
        <w:proofErr w:type="gramStart"/>
        <w:r w:rsidR="00D75BF9">
          <w:rPr>
            <w:color w:val="0000FF"/>
            <w:u w:val="single"/>
          </w:rPr>
          <w:t>516, 517 (S.D.N.Y.1989)</w:t>
        </w:r>
      </w:hyperlink>
      <w:r w:rsidR="00D75BF9">
        <w:rPr>
          <w:color w:val="000000"/>
        </w:rPr>
        <w:t xml:space="preserve">; </w:t>
      </w:r>
      <w:hyperlink r:id="rId114" w:history="1">
        <w:r w:rsidR="00D75BF9">
          <w:rPr>
            <w:i/>
            <w:iCs/>
            <w:color w:val="0000FF"/>
            <w:u w:val="single"/>
          </w:rPr>
          <w:t>Ko</w:t>
        </w:r>
        <w:r w:rsidR="00D75BF9">
          <w:rPr>
            <w:i/>
            <w:iCs/>
            <w:color w:val="0000FF"/>
            <w:u w:val="single"/>
          </w:rPr>
          <w:t>r</w:t>
        </w:r>
        <w:r w:rsidR="00D75BF9">
          <w:rPr>
            <w:i/>
            <w:iCs/>
            <w:color w:val="0000FF"/>
            <w:u w:val="single"/>
          </w:rPr>
          <w:t>wek v. Hunt,</w:t>
        </w:r>
      </w:hyperlink>
      <w:hyperlink r:id="rId115" w:history="1">
        <w:r w:rsidR="00D75BF9">
          <w:rPr>
            <w:color w:val="0000FF"/>
            <w:u w:val="single"/>
          </w:rPr>
          <w:t xml:space="preserve"> 649 F.Supp.</w:t>
        </w:r>
        <w:proofErr w:type="gramEnd"/>
        <w:r w:rsidR="00D75BF9">
          <w:rPr>
            <w:color w:val="0000FF"/>
            <w:u w:val="single"/>
          </w:rPr>
          <w:t xml:space="preserve"> </w:t>
        </w:r>
        <w:proofErr w:type="gramStart"/>
        <w:r w:rsidR="00D75BF9">
          <w:rPr>
            <w:color w:val="0000FF"/>
            <w:u w:val="single"/>
          </w:rPr>
          <w:t>1547, 1548 (S.D.N.Y.1986)</w:t>
        </w:r>
      </w:hyperlink>
      <w:r w:rsidR="00D75BF9">
        <w:rPr>
          <w:color w:val="000000"/>
        </w:rPr>
        <w:t>.</w:t>
      </w:r>
      <w:proofErr w:type="gramEnd"/>
      <w:r w:rsidR="00D75BF9">
        <w:rPr>
          <w:color w:val="000000"/>
        </w:rPr>
        <w:t xml:space="preserve"> Accordingly, a party in its motion for reconsideration “may not advance new facts, issues or arguments not previously presented to the court.” </w:t>
      </w:r>
      <w:hyperlink r:id="rId116" w:history="1">
        <w:r w:rsidR="00D75BF9">
          <w:rPr>
            <w:i/>
            <w:iCs/>
            <w:color w:val="0000FF"/>
            <w:u w:val="single"/>
          </w:rPr>
          <w:t>Litton Indus., Inc. v. Lehman Bros. Kuhn Loeb, Inc.,</w:t>
        </w:r>
      </w:hyperlink>
      <w:hyperlink r:id="rId117" w:history="1">
        <w:r w:rsidR="00D75BF9">
          <w:rPr>
            <w:color w:val="0000FF"/>
            <w:u w:val="single"/>
          </w:rPr>
          <w:t xml:space="preserve"> No. 86-CV-6447 (JMC), 1989 WL 162315, at *3 (S.D.N.Y. Aug. 4, 1989)</w:t>
        </w:r>
      </w:hyperlink>
      <w:r w:rsidR="00D75BF9">
        <w:rPr>
          <w:color w:val="000000"/>
        </w:rPr>
        <w:t>.</w:t>
      </w:r>
    </w:p>
    <w:p w14:paraId="22607580" w14:textId="77777777" w:rsidR="003C7122" w:rsidRDefault="003C7122">
      <w:pPr>
        <w:widowControl w:val="0"/>
        <w:autoSpaceDE w:val="0"/>
        <w:autoSpaceDN w:val="0"/>
        <w:adjustRightInd w:val="0"/>
        <w:rPr>
          <w:color w:val="000000"/>
          <w:sz w:val="24"/>
          <w:szCs w:val="24"/>
        </w:rPr>
      </w:pPr>
    </w:p>
    <w:p w14:paraId="69887089" w14:textId="77777777" w:rsidR="003C7122" w:rsidRDefault="00D75BF9">
      <w:pPr>
        <w:widowControl w:val="0"/>
        <w:autoSpaceDE w:val="0"/>
        <w:autoSpaceDN w:val="0"/>
        <w:adjustRightInd w:val="0"/>
        <w:jc w:val="both"/>
        <w:rPr>
          <w:color w:val="000000"/>
          <w:sz w:val="24"/>
          <w:szCs w:val="24"/>
        </w:rPr>
      </w:pPr>
      <w:r>
        <w:rPr>
          <w:b/>
          <w:bCs/>
          <w:color w:val="000000"/>
        </w:rPr>
        <w:t>b. Merits of Motion for Reconsideration</w:t>
      </w:r>
    </w:p>
    <w:p w14:paraId="32522B16"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UBS seeks reconsideration of Judge Sifton's denial of defendant's motion to dismiss on </w:t>
      </w:r>
      <w:r>
        <w:rPr>
          <w:i/>
          <w:iCs/>
          <w:color w:val="000000"/>
        </w:rPr>
        <w:t xml:space="preserve">forum </w:t>
      </w:r>
      <w:proofErr w:type="gramStart"/>
      <w:r>
        <w:rPr>
          <w:i/>
          <w:iCs/>
          <w:color w:val="000000"/>
        </w:rPr>
        <w:t>non conveniens</w:t>
      </w:r>
      <w:proofErr w:type="gramEnd"/>
      <w:r>
        <w:rPr>
          <w:color w:val="000000"/>
        </w:rPr>
        <w:t xml:space="preserve"> (“FNC”) grounds in the September 24th Order. Defendant principally contends reconsideration is wa</w:t>
      </w:r>
      <w:r>
        <w:rPr>
          <w:color w:val="000000"/>
        </w:rPr>
        <w:t>r</w:t>
      </w:r>
      <w:r>
        <w:rPr>
          <w:color w:val="000000"/>
        </w:rPr>
        <w:t xml:space="preserve">ranted because Judge Sifton “overlooked [his] own ability to eliminate </w:t>
      </w:r>
      <w:proofErr w:type="gramStart"/>
      <w:r>
        <w:rPr>
          <w:color w:val="000000"/>
        </w:rPr>
        <w:t>[ ]</w:t>
      </w:r>
      <w:proofErr w:type="gramEnd"/>
      <w:r>
        <w:rPr>
          <w:color w:val="000000"/>
        </w:rPr>
        <w:t xml:space="preserve"> distinctions between the ATA and Israeli law,” and “could have conditioned FNC dismissal on UBS stipulating that, if liability were established, Plaintiffs would be entitled to prove and recover emotional and non-economic damages akin to an award for ‘loss of consort</w:t>
      </w:r>
      <w:r>
        <w:rPr>
          <w:color w:val="000000"/>
        </w:rPr>
        <w:t>i</w:t>
      </w:r>
      <w:r>
        <w:rPr>
          <w:color w:val="000000"/>
        </w:rPr>
        <w:t xml:space="preserve">um’ under U.S. law.” </w:t>
      </w:r>
      <w:hyperlink w:anchor="Document1zzB00882021482735" w:history="1">
        <w:proofErr w:type="gramStart"/>
        <w:r>
          <w:rPr>
            <w:color w:val="0000FF"/>
            <w:u w:val="single"/>
            <w:vertAlign w:val="superscript"/>
          </w:rPr>
          <w:t>FN8</w:t>
        </w:r>
      </w:hyperlink>
      <w:bookmarkStart w:id="29" w:name="Document1zzF00882021482735"/>
      <w:bookmarkEnd w:id="29"/>
      <w:r>
        <w:rPr>
          <w:color w:val="000000"/>
        </w:rPr>
        <w:t xml:space="preserve"> Defendant's Motion for Reconsideration (“Def. Rec. Br.”) at 2.</w:t>
      </w:r>
      <w:proofErr w:type="gramEnd"/>
    </w:p>
    <w:p w14:paraId="154BB360" w14:textId="77777777" w:rsidR="003C7122" w:rsidRDefault="003C7122">
      <w:pPr>
        <w:widowControl w:val="0"/>
        <w:autoSpaceDE w:val="0"/>
        <w:autoSpaceDN w:val="0"/>
        <w:adjustRightInd w:val="0"/>
        <w:rPr>
          <w:color w:val="000000"/>
          <w:sz w:val="24"/>
          <w:szCs w:val="24"/>
        </w:rPr>
      </w:pPr>
    </w:p>
    <w:p w14:paraId="142D2F30" w14:textId="77777777" w:rsidR="003C7122" w:rsidRDefault="00D24980">
      <w:pPr>
        <w:widowControl w:val="0"/>
        <w:autoSpaceDE w:val="0"/>
        <w:autoSpaceDN w:val="0"/>
        <w:adjustRightInd w:val="0"/>
        <w:ind w:left="720"/>
        <w:jc w:val="both"/>
        <w:rPr>
          <w:color w:val="000000"/>
          <w:sz w:val="24"/>
          <w:szCs w:val="24"/>
        </w:rPr>
      </w:pPr>
      <w:hyperlink w:anchor="Document1zzF00882021482735" w:history="1">
        <w:r w:rsidR="00D75BF9">
          <w:rPr>
            <w:color w:val="0000FF"/>
            <w:u w:val="single"/>
          </w:rPr>
          <w:t>FN8.</w:t>
        </w:r>
      </w:hyperlink>
      <w:bookmarkStart w:id="30" w:name="Document1zzB00882021482735"/>
      <w:bookmarkEnd w:id="30"/>
      <w:r w:rsidR="00D75BF9">
        <w:rPr>
          <w:color w:val="000000"/>
        </w:rPr>
        <w:t xml:space="preserve"> At oral argument on December 29, 2009, counsel for defendant conceded that an Israeli court would apply Israeli law to the instant dispute. </w:t>
      </w:r>
      <w:proofErr w:type="gramStart"/>
      <w:r w:rsidR="00D75BF9">
        <w:rPr>
          <w:color w:val="000000"/>
        </w:rPr>
        <w:t>Tr. at 14.</w:t>
      </w:r>
      <w:proofErr w:type="gramEnd"/>
    </w:p>
    <w:p w14:paraId="2477F897" w14:textId="77777777" w:rsidR="003C7122" w:rsidRDefault="003C7122">
      <w:pPr>
        <w:widowControl w:val="0"/>
        <w:autoSpaceDE w:val="0"/>
        <w:autoSpaceDN w:val="0"/>
        <w:adjustRightInd w:val="0"/>
        <w:rPr>
          <w:color w:val="000000"/>
          <w:sz w:val="24"/>
          <w:szCs w:val="24"/>
        </w:rPr>
      </w:pPr>
    </w:p>
    <w:p w14:paraId="29887C84" w14:textId="77777777" w:rsidR="003C7122" w:rsidRDefault="00D75BF9">
      <w:pPr>
        <w:widowControl w:val="0"/>
        <w:autoSpaceDE w:val="0"/>
        <w:autoSpaceDN w:val="0"/>
        <w:adjustRightInd w:val="0"/>
        <w:ind w:firstLine="360"/>
        <w:jc w:val="both"/>
        <w:rPr>
          <w:color w:val="000000"/>
          <w:sz w:val="24"/>
          <w:szCs w:val="24"/>
        </w:rPr>
      </w:pPr>
      <w:r>
        <w:rPr>
          <w:color w:val="000000"/>
        </w:rPr>
        <w:t>Defendant specifically challenges the conclusion in the September 24th Order that UBS had not met its burden of showing that the proposed alternate forum, Israel, offers a remedy which is “substantially the same” as the one available in the U.S.</w:t>
      </w:r>
      <w:hyperlink w:anchor="Document1zzB00992021482735" w:history="1">
        <w:r>
          <w:rPr>
            <w:color w:val="0000FF"/>
            <w:u w:val="single"/>
            <w:vertAlign w:val="superscript"/>
          </w:rPr>
          <w:t>FN9</w:t>
        </w:r>
      </w:hyperlink>
      <w:bookmarkStart w:id="31" w:name="Document1zzF00992021482735"/>
      <w:bookmarkEnd w:id="31"/>
    </w:p>
    <w:p w14:paraId="741DAE9D" w14:textId="77777777" w:rsidR="003C7122" w:rsidRDefault="003C7122">
      <w:pPr>
        <w:widowControl w:val="0"/>
        <w:autoSpaceDE w:val="0"/>
        <w:autoSpaceDN w:val="0"/>
        <w:adjustRightInd w:val="0"/>
        <w:rPr>
          <w:color w:val="000000"/>
          <w:sz w:val="24"/>
          <w:szCs w:val="24"/>
        </w:rPr>
      </w:pPr>
    </w:p>
    <w:p w14:paraId="31C0B4FF" w14:textId="77777777" w:rsidR="003C7122" w:rsidRDefault="00D24980">
      <w:pPr>
        <w:widowControl w:val="0"/>
        <w:autoSpaceDE w:val="0"/>
        <w:autoSpaceDN w:val="0"/>
        <w:adjustRightInd w:val="0"/>
        <w:ind w:left="720"/>
        <w:jc w:val="both"/>
        <w:rPr>
          <w:color w:val="000000"/>
          <w:sz w:val="24"/>
          <w:szCs w:val="24"/>
        </w:rPr>
      </w:pPr>
      <w:hyperlink w:anchor="Document1zzF00992021482735" w:history="1">
        <w:r w:rsidR="00D75BF9">
          <w:rPr>
            <w:color w:val="0000FF"/>
            <w:u w:val="single"/>
          </w:rPr>
          <w:t>FN9.</w:t>
        </w:r>
      </w:hyperlink>
      <w:bookmarkStart w:id="32" w:name="Document1zzB00992021482735"/>
      <w:bookmarkEnd w:id="32"/>
      <w:r w:rsidR="00D75BF9">
        <w:rPr>
          <w:color w:val="000000"/>
        </w:rPr>
        <w:t xml:space="preserve"> </w:t>
      </w:r>
      <w:hyperlink r:id="rId118" w:history="1">
        <w:r w:rsidR="00D75BF9">
          <w:rPr>
            <w:color w:val="0000FF"/>
            <w:u w:val="single"/>
          </w:rPr>
          <w:t>18 U.S.C. § 2334(d)</w:t>
        </w:r>
      </w:hyperlink>
      <w:r w:rsidR="00D75BF9">
        <w:rPr>
          <w:color w:val="000000"/>
        </w:rPr>
        <w:t xml:space="preserve"> provides that:</w:t>
      </w:r>
    </w:p>
    <w:p w14:paraId="48EC6D22" w14:textId="77777777" w:rsidR="003C7122" w:rsidRDefault="003C7122">
      <w:pPr>
        <w:widowControl w:val="0"/>
        <w:autoSpaceDE w:val="0"/>
        <w:autoSpaceDN w:val="0"/>
        <w:adjustRightInd w:val="0"/>
        <w:rPr>
          <w:color w:val="000000"/>
          <w:sz w:val="24"/>
          <w:szCs w:val="24"/>
        </w:rPr>
      </w:pPr>
    </w:p>
    <w:p w14:paraId="31238AAB" w14:textId="77777777" w:rsidR="003C7122" w:rsidRDefault="00D75BF9">
      <w:pPr>
        <w:widowControl w:val="0"/>
        <w:autoSpaceDE w:val="0"/>
        <w:autoSpaceDN w:val="0"/>
        <w:adjustRightInd w:val="0"/>
        <w:ind w:left="900"/>
        <w:jc w:val="both"/>
        <w:rPr>
          <w:color w:val="000000"/>
          <w:sz w:val="24"/>
          <w:szCs w:val="24"/>
        </w:rPr>
      </w:pPr>
      <w:r>
        <w:rPr>
          <w:color w:val="000000"/>
        </w:rPr>
        <w:t xml:space="preserve">The district court shall not dismiss any action brought under </w:t>
      </w:r>
      <w:hyperlink r:id="rId119" w:history="1">
        <w:r>
          <w:rPr>
            <w:color w:val="0000FF"/>
            <w:u w:val="single"/>
          </w:rPr>
          <w:t>section 2333</w:t>
        </w:r>
      </w:hyperlink>
      <w:r>
        <w:rPr>
          <w:color w:val="000000"/>
        </w:rPr>
        <w:t xml:space="preserve"> of this title on the grounds of the inconvenience or inappropriateness of the forum chosen, unless-</w:t>
      </w:r>
    </w:p>
    <w:p w14:paraId="3B8B8961" w14:textId="77777777" w:rsidR="003C7122" w:rsidRDefault="003C7122">
      <w:pPr>
        <w:widowControl w:val="0"/>
        <w:autoSpaceDE w:val="0"/>
        <w:autoSpaceDN w:val="0"/>
        <w:adjustRightInd w:val="0"/>
        <w:rPr>
          <w:color w:val="000000"/>
          <w:sz w:val="24"/>
          <w:szCs w:val="24"/>
        </w:rPr>
      </w:pPr>
    </w:p>
    <w:p w14:paraId="73221E1C" w14:textId="77777777" w:rsidR="003C7122" w:rsidRDefault="00D75BF9">
      <w:pPr>
        <w:widowControl w:val="0"/>
        <w:autoSpaceDE w:val="0"/>
        <w:autoSpaceDN w:val="0"/>
        <w:adjustRightInd w:val="0"/>
        <w:ind w:left="900"/>
        <w:jc w:val="both"/>
        <w:rPr>
          <w:color w:val="000000"/>
          <w:sz w:val="24"/>
          <w:szCs w:val="24"/>
        </w:rPr>
      </w:pPr>
      <w:r>
        <w:rPr>
          <w:color w:val="000000"/>
        </w:rPr>
        <w:t xml:space="preserve">(1) </w:t>
      </w:r>
      <w:proofErr w:type="gramStart"/>
      <w:r>
        <w:rPr>
          <w:color w:val="000000"/>
        </w:rPr>
        <w:t>the</w:t>
      </w:r>
      <w:proofErr w:type="gramEnd"/>
      <w:r>
        <w:rPr>
          <w:color w:val="000000"/>
        </w:rPr>
        <w:t xml:space="preserve"> action may be maintained in a foreign court that has jurisdiction over the subject matter and over all the defendants;</w:t>
      </w:r>
    </w:p>
    <w:p w14:paraId="7EEA0A22" w14:textId="77777777" w:rsidR="003C7122" w:rsidRDefault="003C7122">
      <w:pPr>
        <w:widowControl w:val="0"/>
        <w:autoSpaceDE w:val="0"/>
        <w:autoSpaceDN w:val="0"/>
        <w:adjustRightInd w:val="0"/>
        <w:rPr>
          <w:color w:val="000000"/>
          <w:sz w:val="24"/>
          <w:szCs w:val="24"/>
        </w:rPr>
      </w:pPr>
    </w:p>
    <w:p w14:paraId="7393C531" w14:textId="77777777" w:rsidR="003C7122" w:rsidRDefault="00D75BF9">
      <w:pPr>
        <w:widowControl w:val="0"/>
        <w:autoSpaceDE w:val="0"/>
        <w:autoSpaceDN w:val="0"/>
        <w:adjustRightInd w:val="0"/>
        <w:ind w:left="900"/>
        <w:jc w:val="both"/>
        <w:rPr>
          <w:color w:val="000000"/>
          <w:sz w:val="24"/>
          <w:szCs w:val="24"/>
        </w:rPr>
      </w:pPr>
      <w:r>
        <w:rPr>
          <w:color w:val="000000"/>
        </w:rPr>
        <w:t xml:space="preserve">(2) </w:t>
      </w:r>
      <w:proofErr w:type="gramStart"/>
      <w:r>
        <w:rPr>
          <w:color w:val="000000"/>
        </w:rPr>
        <w:t>that</w:t>
      </w:r>
      <w:proofErr w:type="gramEnd"/>
      <w:r>
        <w:rPr>
          <w:color w:val="000000"/>
        </w:rPr>
        <w:t xml:space="preserve"> foreign court is significantly more convenient and appropriate; and</w:t>
      </w:r>
    </w:p>
    <w:p w14:paraId="0700D8F9" w14:textId="77777777" w:rsidR="003C7122" w:rsidRDefault="003C7122">
      <w:pPr>
        <w:widowControl w:val="0"/>
        <w:autoSpaceDE w:val="0"/>
        <w:autoSpaceDN w:val="0"/>
        <w:adjustRightInd w:val="0"/>
        <w:rPr>
          <w:color w:val="000000"/>
          <w:sz w:val="24"/>
          <w:szCs w:val="24"/>
        </w:rPr>
      </w:pPr>
    </w:p>
    <w:p w14:paraId="469078C9" w14:textId="77777777" w:rsidR="003C7122" w:rsidRDefault="00D75BF9">
      <w:pPr>
        <w:widowControl w:val="0"/>
        <w:autoSpaceDE w:val="0"/>
        <w:autoSpaceDN w:val="0"/>
        <w:adjustRightInd w:val="0"/>
        <w:ind w:left="900"/>
        <w:jc w:val="both"/>
        <w:rPr>
          <w:color w:val="000000"/>
          <w:sz w:val="24"/>
          <w:szCs w:val="24"/>
        </w:rPr>
      </w:pPr>
      <w:r>
        <w:rPr>
          <w:color w:val="000000"/>
        </w:rPr>
        <w:t xml:space="preserve">(3) </w:t>
      </w:r>
      <w:proofErr w:type="gramStart"/>
      <w:r>
        <w:rPr>
          <w:color w:val="000000"/>
        </w:rPr>
        <w:t>that</w:t>
      </w:r>
      <w:proofErr w:type="gramEnd"/>
      <w:r>
        <w:rPr>
          <w:color w:val="000000"/>
        </w:rPr>
        <w:t xml:space="preserve"> foreign court offers a remedy which is substantially the same as the one available in the courts of the United States.</w:t>
      </w:r>
    </w:p>
    <w:p w14:paraId="2F7696EE" w14:textId="77777777" w:rsidR="003C7122" w:rsidRDefault="003C7122">
      <w:pPr>
        <w:widowControl w:val="0"/>
        <w:autoSpaceDE w:val="0"/>
        <w:autoSpaceDN w:val="0"/>
        <w:adjustRightInd w:val="0"/>
        <w:rPr>
          <w:color w:val="000000"/>
          <w:sz w:val="24"/>
          <w:szCs w:val="24"/>
        </w:rPr>
      </w:pPr>
    </w:p>
    <w:p w14:paraId="7388EF1E" w14:textId="77777777" w:rsidR="003C7122" w:rsidRDefault="00D75BF9">
      <w:pPr>
        <w:widowControl w:val="0"/>
        <w:autoSpaceDE w:val="0"/>
        <w:autoSpaceDN w:val="0"/>
        <w:adjustRightInd w:val="0"/>
        <w:ind w:firstLine="360"/>
        <w:jc w:val="both"/>
        <w:rPr>
          <w:color w:val="000000"/>
          <w:sz w:val="24"/>
          <w:szCs w:val="24"/>
        </w:rPr>
      </w:pPr>
      <w:r>
        <w:rPr>
          <w:color w:val="000000"/>
        </w:rPr>
        <w:t>In the September 24th Order, Judge Sifton held that dismissal on FNC grounds was not warranted because there were at least two significant differences between the remedies available under Israeli and U.S. law: (1) while the ATA permits successful plaintiffs to recover treble damages plus the cost of bringing suit, including attorneys fees, Israeli law contains no provision for treble damages; and (2) Israel law lacks a mechanism by which plaintiffs could obtain compensation for their emotional or noneconomic injury.</w:t>
      </w:r>
      <w:hyperlink w:anchor="Document1zzB010102021482735" w:history="1">
        <w:r>
          <w:rPr>
            <w:color w:val="0000FF"/>
            <w:u w:val="single"/>
            <w:vertAlign w:val="superscript"/>
          </w:rPr>
          <w:t>FN10</w:t>
        </w:r>
      </w:hyperlink>
      <w:bookmarkStart w:id="33" w:name="Document1zzF010102021482735"/>
      <w:bookmarkEnd w:id="33"/>
      <w:r>
        <w:rPr>
          <w:color w:val="000000"/>
        </w:rPr>
        <w:t xml:space="preserve"> </w:t>
      </w:r>
      <w:r>
        <w:rPr>
          <w:i/>
          <w:iCs/>
          <w:color w:val="000000"/>
        </w:rPr>
        <w:t>Id.</w:t>
      </w:r>
      <w:r>
        <w:rPr>
          <w:color w:val="000000"/>
        </w:rPr>
        <w:t xml:space="preserve"> at 9. Because defendant offered to enter into a stipulation trebling any compensatory damage award determined by an Israeli court, Judge Sifton concluded that defendant had mitigated any effect of the first of these two distinctions, but that the latter distinction precluded the grant of FNC dismissal. </w:t>
      </w:r>
      <w:r>
        <w:rPr>
          <w:i/>
          <w:iCs/>
          <w:color w:val="000000"/>
        </w:rPr>
        <w:t>Id.</w:t>
      </w:r>
      <w:r>
        <w:rPr>
          <w:color w:val="000000"/>
        </w:rPr>
        <w:t xml:space="preserve"> Defendant now contends that Judge Sifton overlooked the possibility of conditioning FNC dismissal on defendant UBS's agreement to have an Israeli court determine and award damages for solatium or loss of consortium.</w:t>
      </w:r>
      <w:hyperlink w:anchor="Document1zzB011112021482735" w:history="1">
        <w:r>
          <w:rPr>
            <w:color w:val="0000FF"/>
            <w:u w:val="single"/>
            <w:vertAlign w:val="superscript"/>
          </w:rPr>
          <w:t>FN11</w:t>
        </w:r>
      </w:hyperlink>
      <w:bookmarkStart w:id="34" w:name="Document1zzF011112021482735"/>
      <w:bookmarkEnd w:id="34"/>
      <w:r>
        <w:rPr>
          <w:color w:val="000000"/>
        </w:rPr>
        <w:t xml:space="preserve"> Defendant's argument fails for three reasons.</w:t>
      </w:r>
    </w:p>
    <w:p w14:paraId="674A36C0" w14:textId="77777777" w:rsidR="003C7122" w:rsidRDefault="003C7122">
      <w:pPr>
        <w:widowControl w:val="0"/>
        <w:autoSpaceDE w:val="0"/>
        <w:autoSpaceDN w:val="0"/>
        <w:adjustRightInd w:val="0"/>
        <w:rPr>
          <w:color w:val="000000"/>
          <w:sz w:val="24"/>
          <w:szCs w:val="24"/>
        </w:rPr>
      </w:pPr>
    </w:p>
    <w:p w14:paraId="25235079" w14:textId="77777777" w:rsidR="003C7122" w:rsidRDefault="00D24980">
      <w:pPr>
        <w:widowControl w:val="0"/>
        <w:autoSpaceDE w:val="0"/>
        <w:autoSpaceDN w:val="0"/>
        <w:adjustRightInd w:val="0"/>
        <w:ind w:left="720"/>
        <w:jc w:val="both"/>
        <w:rPr>
          <w:color w:val="000000"/>
          <w:sz w:val="24"/>
          <w:szCs w:val="24"/>
        </w:rPr>
      </w:pPr>
      <w:hyperlink w:anchor="Document1zzF010102021482735" w:history="1">
        <w:r w:rsidR="00D75BF9">
          <w:rPr>
            <w:color w:val="0000FF"/>
            <w:u w:val="single"/>
          </w:rPr>
          <w:t>FN10.</w:t>
        </w:r>
      </w:hyperlink>
      <w:bookmarkStart w:id="35" w:name="Document1zzB010102021482735"/>
      <w:bookmarkEnd w:id="35"/>
      <w:r w:rsidR="00D75BF9">
        <w:rPr>
          <w:color w:val="000000"/>
        </w:rPr>
        <w:t xml:space="preserve"> Both parties assume that non-economic damages (including emotional harm and loss of solatium) are available in a suit brought under the ATA. This assumption rests on the belief that the legislative history and language of the ATA “evidence</w:t>
      </w:r>
      <w:proofErr w:type="gramStart"/>
      <w:r w:rsidR="00D75BF9">
        <w:rPr>
          <w:color w:val="000000"/>
        </w:rPr>
        <w:t>[ ]</w:t>
      </w:r>
      <w:proofErr w:type="gramEnd"/>
      <w:r w:rsidR="00D75BF9">
        <w:rPr>
          <w:color w:val="000000"/>
        </w:rPr>
        <w:t xml:space="preserve"> an intent to codify general common law tort principles and to extend civil liability for acts of international terrorism to the full reaches of traditional tort law.” (Plaintiffs' Opp</w:t>
      </w:r>
      <w:r w:rsidR="00D75BF9">
        <w:rPr>
          <w:color w:val="000000"/>
        </w:rPr>
        <w:t>o</w:t>
      </w:r>
      <w:r w:rsidR="00D75BF9">
        <w:rPr>
          <w:color w:val="000000"/>
        </w:rPr>
        <w:t xml:space="preserve">sition to Defendant's Motion to Dismiss at 18 (citing </w:t>
      </w:r>
      <w:hyperlink r:id="rId120" w:history="1">
        <w:r w:rsidR="00D75BF9">
          <w:rPr>
            <w:i/>
            <w:iCs/>
            <w:color w:val="0000FF"/>
            <w:u w:val="single"/>
          </w:rPr>
          <w:t xml:space="preserve">Boim v. Quranic Literacy Inst. </w:t>
        </w:r>
        <w:proofErr w:type="gramStart"/>
        <w:r w:rsidR="00D75BF9">
          <w:rPr>
            <w:i/>
            <w:iCs/>
            <w:color w:val="0000FF"/>
            <w:u w:val="single"/>
          </w:rPr>
          <w:t>And Holy Land Found.</w:t>
        </w:r>
        <w:proofErr w:type="gramEnd"/>
        <w:r w:rsidR="00D75BF9">
          <w:rPr>
            <w:i/>
            <w:iCs/>
            <w:color w:val="0000FF"/>
            <w:u w:val="single"/>
          </w:rPr>
          <w:t xml:space="preserve"> </w:t>
        </w:r>
        <w:proofErr w:type="gramStart"/>
        <w:r w:rsidR="00D75BF9">
          <w:rPr>
            <w:i/>
            <w:iCs/>
            <w:color w:val="0000FF"/>
            <w:u w:val="single"/>
          </w:rPr>
          <w:t>for</w:t>
        </w:r>
        <w:proofErr w:type="gramEnd"/>
        <w:r w:rsidR="00D75BF9">
          <w:rPr>
            <w:i/>
            <w:iCs/>
            <w:color w:val="0000FF"/>
            <w:u w:val="single"/>
          </w:rPr>
          <w:t xml:space="preserve"> Relief and Dev.,</w:t>
        </w:r>
      </w:hyperlink>
      <w:hyperlink r:id="rId121" w:history="1">
        <w:r w:rsidR="00D75BF9">
          <w:rPr>
            <w:color w:val="0000FF"/>
            <w:u w:val="single"/>
          </w:rPr>
          <w:t xml:space="preserve"> 291 F.3d 1000, 1010 (7th Cir.2002)</w:t>
        </w:r>
      </w:hyperlink>
      <w:r w:rsidR="00D75BF9">
        <w:rPr>
          <w:color w:val="000000"/>
        </w:rPr>
        <w:t xml:space="preserve">)); </w:t>
      </w:r>
      <w:r w:rsidR="00D75BF9">
        <w:rPr>
          <w:i/>
          <w:iCs/>
          <w:color w:val="000000"/>
        </w:rPr>
        <w:t>see also</w:t>
      </w:r>
      <w:r w:rsidR="00D75BF9">
        <w:rPr>
          <w:color w:val="000000"/>
        </w:rPr>
        <w:t xml:space="preserve"> Transcript of Oral Argument dated Dec. 29, 2009 (“Tr.”) at 2. However, looking to “traditional tort law” in the instant case is not necessarily dete</w:t>
      </w:r>
      <w:r w:rsidR="00D75BF9">
        <w:rPr>
          <w:color w:val="000000"/>
        </w:rPr>
        <w:t>r</w:t>
      </w:r>
      <w:r w:rsidR="00D75BF9">
        <w:rPr>
          <w:color w:val="000000"/>
        </w:rPr>
        <w:t xml:space="preserve">minative, since it is far from uniform on the availability of loss of solatium damages. For example, New York law does not permit such damages in wrongful death cases, </w:t>
      </w:r>
      <w:hyperlink r:id="rId122" w:history="1">
        <w:r w:rsidR="00D75BF9">
          <w:rPr>
            <w:i/>
            <w:iCs/>
            <w:color w:val="0000FF"/>
            <w:u w:val="single"/>
          </w:rPr>
          <w:t>Liff v. Schildkrout,</w:t>
        </w:r>
      </w:hyperlink>
      <w:hyperlink r:id="rId123" w:history="1">
        <w:r w:rsidR="00D75BF9">
          <w:rPr>
            <w:color w:val="0000FF"/>
            <w:u w:val="single"/>
          </w:rPr>
          <w:t xml:space="preserve"> 49 N.Y.2d 622, 427 N.Y.S.2d 746, 404 N.E.2d 1288 (1980)</w:t>
        </w:r>
      </w:hyperlink>
      <w:r w:rsidR="00D75BF9">
        <w:rPr>
          <w:color w:val="000000"/>
        </w:rPr>
        <w:t xml:space="preserve">, although the number of states that share that view appears to be shrinking. </w:t>
      </w:r>
      <w:r w:rsidR="00D75BF9">
        <w:rPr>
          <w:i/>
          <w:iCs/>
          <w:color w:val="000000"/>
        </w:rPr>
        <w:t>See, e.g.,</w:t>
      </w:r>
      <w:r w:rsidR="00D75BF9">
        <w:rPr>
          <w:color w:val="000000"/>
        </w:rPr>
        <w:t xml:space="preserve"> </w:t>
      </w:r>
      <w:hyperlink r:id="rId124" w:history="1">
        <w:r w:rsidR="00D75BF9">
          <w:rPr>
            <w:color w:val="0000FF"/>
            <w:u w:val="single"/>
          </w:rPr>
          <w:t xml:space="preserve">22A Am.Jur.2d </w:t>
        </w:r>
      </w:hyperlink>
      <w:hyperlink r:id="rId125" w:history="1">
        <w:r w:rsidR="00D75BF9">
          <w:rPr>
            <w:i/>
            <w:iCs/>
            <w:color w:val="0000FF"/>
            <w:u w:val="single"/>
          </w:rPr>
          <w:t>Death</w:t>
        </w:r>
      </w:hyperlink>
      <w:hyperlink r:id="rId126" w:history="1">
        <w:r w:rsidR="00D75BF9">
          <w:rPr>
            <w:color w:val="0000FF"/>
            <w:u w:val="single"/>
          </w:rPr>
          <w:t xml:space="preserve"> § 223 (2009)</w:t>
        </w:r>
      </w:hyperlink>
      <w:r w:rsidR="00D75BF9">
        <w:rPr>
          <w:color w:val="000000"/>
        </w:rPr>
        <w:t xml:space="preserve"> (“The modern trend ... is to allow damages for the loss of companionship and society, or consortium.”); William Lloyd Prosser &amp;, W. Page Keeton, </w:t>
      </w:r>
      <w:r w:rsidR="00D75BF9">
        <w:rPr>
          <w:i/>
          <w:iCs/>
          <w:color w:val="000000"/>
        </w:rPr>
        <w:t>Prosser and Keeton on Torts</w:t>
      </w:r>
      <w:r w:rsidR="00D75BF9">
        <w:rPr>
          <w:color w:val="000000"/>
        </w:rPr>
        <w:t xml:space="preserve"> 953 (5th ed. 1984) (“The decisions and statute of recent years have moved in the d</w:t>
      </w:r>
      <w:r w:rsidR="00D75BF9">
        <w:rPr>
          <w:color w:val="000000"/>
        </w:rPr>
        <w:t>i</w:t>
      </w:r>
      <w:r w:rsidR="00D75BF9">
        <w:rPr>
          <w:color w:val="000000"/>
        </w:rPr>
        <w:t xml:space="preserve">rection of increased support of the recovery of intangible losses and for some degree of protection for the bereavement of survivors.”); Dan Dobbs, </w:t>
      </w:r>
      <w:r w:rsidR="00D75BF9">
        <w:rPr>
          <w:i/>
          <w:iCs/>
          <w:color w:val="000000"/>
        </w:rPr>
        <w:t>The Law of Torts</w:t>
      </w:r>
      <w:r w:rsidR="00D75BF9">
        <w:rPr>
          <w:color w:val="000000"/>
        </w:rPr>
        <w:t xml:space="preserve"> 812 (2001) (same). In recognition of the gro</w:t>
      </w:r>
      <w:r w:rsidR="00D75BF9">
        <w:rPr>
          <w:color w:val="000000"/>
        </w:rPr>
        <w:t>w</w:t>
      </w:r>
      <w:r w:rsidR="00D75BF9">
        <w:rPr>
          <w:color w:val="000000"/>
        </w:rPr>
        <w:t>ing consensus among the states and the “humanitarian policy of the maritime law,” the Supreme Court re</w:t>
      </w:r>
      <w:r w:rsidR="00D75BF9">
        <w:rPr>
          <w:color w:val="000000"/>
        </w:rPr>
        <w:t>c</w:t>
      </w:r>
      <w:r w:rsidR="00D75BF9">
        <w:rPr>
          <w:color w:val="000000"/>
        </w:rPr>
        <w:t xml:space="preserve">ognized loss of solatium damages in crafting federal common law to govern maritime actions, </w:t>
      </w:r>
      <w:hyperlink r:id="rId127" w:history="1">
        <w:r w:rsidR="00D75BF9">
          <w:rPr>
            <w:i/>
            <w:iCs/>
            <w:color w:val="0000FF"/>
            <w:u w:val="single"/>
          </w:rPr>
          <w:t>Sea-Land Services, Inc. v. Gaudet,</w:t>
        </w:r>
      </w:hyperlink>
      <w:hyperlink r:id="rId128" w:history="1">
        <w:r w:rsidR="00D75BF9">
          <w:rPr>
            <w:color w:val="0000FF"/>
            <w:u w:val="single"/>
          </w:rPr>
          <w:t xml:space="preserve"> 414 U.S. 573, 587 n. 17, 94 S.Ct. 806, 39 L.Ed.2d 9 (1974)</w:t>
        </w:r>
      </w:hyperlink>
      <w:r w:rsidR="00D75BF9">
        <w:rPr>
          <w:color w:val="000000"/>
        </w:rPr>
        <w:t>, although the availabi</w:t>
      </w:r>
      <w:r w:rsidR="00D75BF9">
        <w:rPr>
          <w:color w:val="000000"/>
        </w:rPr>
        <w:t>l</w:t>
      </w:r>
      <w:r w:rsidR="00D75BF9">
        <w:rPr>
          <w:color w:val="000000"/>
        </w:rPr>
        <w:t xml:space="preserve">ity of non-pecuniary damages in maritime actions is generally limited by statute. </w:t>
      </w:r>
      <w:r w:rsidR="00D75BF9">
        <w:rPr>
          <w:i/>
          <w:iCs/>
          <w:color w:val="000000"/>
        </w:rPr>
        <w:t xml:space="preserve">See </w:t>
      </w:r>
      <w:hyperlink r:id="rId129" w:history="1">
        <w:r w:rsidR="00D75BF9">
          <w:rPr>
            <w:i/>
            <w:iCs/>
            <w:color w:val="0000FF"/>
            <w:u w:val="single"/>
          </w:rPr>
          <w:t>Miles v. Apex Marine Corp.,</w:t>
        </w:r>
      </w:hyperlink>
      <w:hyperlink r:id="rId130" w:history="1">
        <w:r w:rsidR="00D75BF9">
          <w:rPr>
            <w:color w:val="0000FF"/>
            <w:u w:val="single"/>
          </w:rPr>
          <w:t xml:space="preserve"> 498 U.S. 19, 20, 111 S.Ct. 317, 112 L.Ed.2d 275 (1990)</w:t>
        </w:r>
      </w:hyperlink>
      <w:r w:rsidR="00D75BF9">
        <w:rPr>
          <w:color w:val="000000"/>
        </w:rPr>
        <w:t>. Whether such emotional damages are r</w:t>
      </w:r>
      <w:r w:rsidR="00D75BF9">
        <w:rPr>
          <w:color w:val="000000"/>
        </w:rPr>
        <w:t>e</w:t>
      </w:r>
      <w:r w:rsidR="00D75BF9">
        <w:rPr>
          <w:color w:val="000000"/>
        </w:rPr>
        <w:t>coverable under the ATA thus depends on what substantive law will govern the calculation of damages u</w:t>
      </w:r>
      <w:r w:rsidR="00D75BF9">
        <w:rPr>
          <w:color w:val="000000"/>
        </w:rPr>
        <w:t>n</w:t>
      </w:r>
      <w:r w:rsidR="00D75BF9">
        <w:rPr>
          <w:color w:val="000000"/>
        </w:rPr>
        <w:t>der choice of law principles.</w:t>
      </w:r>
    </w:p>
    <w:p w14:paraId="56D2FAF0" w14:textId="77777777" w:rsidR="003C7122" w:rsidRDefault="003C7122">
      <w:pPr>
        <w:widowControl w:val="0"/>
        <w:autoSpaceDE w:val="0"/>
        <w:autoSpaceDN w:val="0"/>
        <w:adjustRightInd w:val="0"/>
        <w:rPr>
          <w:color w:val="000000"/>
          <w:sz w:val="24"/>
          <w:szCs w:val="24"/>
        </w:rPr>
      </w:pPr>
    </w:p>
    <w:p w14:paraId="76F19FE0" w14:textId="77777777" w:rsidR="003C7122" w:rsidRDefault="00D75BF9">
      <w:pPr>
        <w:widowControl w:val="0"/>
        <w:autoSpaceDE w:val="0"/>
        <w:autoSpaceDN w:val="0"/>
        <w:adjustRightInd w:val="0"/>
        <w:ind w:left="900"/>
        <w:jc w:val="both"/>
        <w:rPr>
          <w:color w:val="000000"/>
          <w:sz w:val="24"/>
          <w:szCs w:val="24"/>
        </w:rPr>
      </w:pPr>
      <w:r>
        <w:rPr>
          <w:color w:val="000000"/>
        </w:rPr>
        <w:t>“[</w:t>
      </w:r>
      <w:proofErr w:type="gramStart"/>
      <w:r>
        <w:rPr>
          <w:color w:val="000000"/>
        </w:rPr>
        <w:t>T]he</w:t>
      </w:r>
      <w:proofErr w:type="gramEnd"/>
      <w:r>
        <w:rPr>
          <w:color w:val="000000"/>
        </w:rPr>
        <w:t xml:space="preserve"> law is unsettled when it comes to applying either a federal common law choice of law rule or state choice of law principles in non-diversity cases,” </w:t>
      </w:r>
      <w:hyperlink r:id="rId131" w:history="1">
        <w:r>
          <w:rPr>
            <w:i/>
            <w:iCs/>
            <w:color w:val="0000FF"/>
            <w:u w:val="single"/>
          </w:rPr>
          <w:t>Pescatore v. Pan American World Airways, Inc.,</w:t>
        </w:r>
      </w:hyperlink>
      <w:hyperlink r:id="rId132" w:history="1">
        <w:r>
          <w:rPr>
            <w:color w:val="0000FF"/>
            <w:u w:val="single"/>
          </w:rPr>
          <w:t xml:space="preserve"> 97 F.3d 1, 12 (2d Cir.1996)</w:t>
        </w:r>
      </w:hyperlink>
      <w:r>
        <w:rPr>
          <w:color w:val="000000"/>
        </w:rPr>
        <w:t>, although both reach the same result in the present case. Because Israel is both the l</w:t>
      </w:r>
      <w:r>
        <w:rPr>
          <w:color w:val="000000"/>
        </w:rPr>
        <w:t>o</w:t>
      </w:r>
      <w:r>
        <w:rPr>
          <w:color w:val="000000"/>
        </w:rPr>
        <w:t>cus of the injury and the domicile of the plaintiffs, Israeli law, which does not provide for loss of solat</w:t>
      </w:r>
      <w:r>
        <w:rPr>
          <w:color w:val="000000"/>
        </w:rPr>
        <w:t>i</w:t>
      </w:r>
      <w:r>
        <w:rPr>
          <w:color w:val="000000"/>
        </w:rPr>
        <w:t>um damages, would govern damages in this suit, unless doing so would conflict with a strong federal i</w:t>
      </w:r>
      <w:r>
        <w:rPr>
          <w:color w:val="000000"/>
        </w:rPr>
        <w:t>n</w:t>
      </w:r>
      <w:r>
        <w:rPr>
          <w:color w:val="000000"/>
        </w:rPr>
        <w:t xml:space="preserve">terest. </w:t>
      </w:r>
      <w:r>
        <w:rPr>
          <w:i/>
          <w:iCs/>
          <w:color w:val="000000"/>
        </w:rPr>
        <w:t xml:space="preserve">See, e.g., </w:t>
      </w:r>
      <w:hyperlink r:id="rId133" w:history="1">
        <w:r>
          <w:rPr>
            <w:i/>
            <w:iCs/>
            <w:color w:val="0000FF"/>
            <w:u w:val="single"/>
          </w:rPr>
          <w:t>Corporacion Venezolana de Fomento v. Vintero Sales Corp.,</w:t>
        </w:r>
      </w:hyperlink>
      <w:hyperlink r:id="rId134" w:history="1">
        <w:r>
          <w:rPr>
            <w:color w:val="0000FF"/>
            <w:u w:val="single"/>
          </w:rPr>
          <w:t xml:space="preserve"> 629 F.2d 786 (2d Cir.1980)</w:t>
        </w:r>
      </w:hyperlink>
      <w:r>
        <w:rPr>
          <w:color w:val="000000"/>
        </w:rPr>
        <w:t xml:space="preserve"> (applying federal choice of law analysis); </w:t>
      </w:r>
      <w:hyperlink r:id="rId135" w:history="1">
        <w:r>
          <w:rPr>
            <w:i/>
            <w:iCs/>
            <w:color w:val="0000FF"/>
            <w:u w:val="single"/>
          </w:rPr>
          <w:t>Schoenberg v. Exportadora de Sal, S.A. de C.V.</w:t>
        </w:r>
      </w:hyperlink>
      <w:hyperlink r:id="rId136" w:history="1">
        <w:r>
          <w:rPr>
            <w:color w:val="0000FF"/>
            <w:u w:val="single"/>
          </w:rPr>
          <w:t xml:space="preserve"> 930 F.2d 777, 783 (9th Cir.1991)</w:t>
        </w:r>
      </w:hyperlink>
      <w:r>
        <w:rPr>
          <w:color w:val="000000"/>
        </w:rPr>
        <w:t xml:space="preserve"> (following Restatement approach that a presumption that the law of the place where the injury occurred applies law in federal question cases); </w:t>
      </w:r>
      <w:hyperlink r:id="rId137" w:history="1">
        <w:r>
          <w:rPr>
            <w:i/>
            <w:iCs/>
            <w:color w:val="0000FF"/>
            <w:u w:val="single"/>
          </w:rPr>
          <w:t>O'Melveny &amp; Myers v. FDIC,</w:t>
        </w:r>
      </w:hyperlink>
      <w:hyperlink r:id="rId138" w:history="1">
        <w:r>
          <w:rPr>
            <w:color w:val="0000FF"/>
            <w:u w:val="single"/>
          </w:rPr>
          <w:t xml:space="preserve"> 512 U.S. 79, 114 S.Ct. 2048, 2055, 129 L.Ed.2d 67 (1994)</w:t>
        </w:r>
      </w:hyperlink>
      <w:r>
        <w:rPr>
          <w:color w:val="000000"/>
        </w:rPr>
        <w:t xml:space="preserve"> (“the normal federal disposition is for a federal court to apply the relevant state's law as the federal rule of decision absent a ‘significant conflict between some federal policy or interest and the use of state law.’ ”) (</w:t>
      </w:r>
      <w:proofErr w:type="gramStart"/>
      <w:r>
        <w:rPr>
          <w:color w:val="000000"/>
        </w:rPr>
        <w:t>citation</w:t>
      </w:r>
      <w:proofErr w:type="gramEnd"/>
      <w:r>
        <w:rPr>
          <w:color w:val="000000"/>
        </w:rPr>
        <w:t xml:space="preserve"> omitted); </w:t>
      </w:r>
      <w:hyperlink r:id="rId139" w:history="1">
        <w:r>
          <w:rPr>
            <w:i/>
            <w:iCs/>
            <w:color w:val="0000FF"/>
            <w:u w:val="single"/>
          </w:rPr>
          <w:t xml:space="preserve">Barkanic v. General Admin. </w:t>
        </w:r>
        <w:proofErr w:type="gramStart"/>
        <w:r>
          <w:rPr>
            <w:i/>
            <w:iCs/>
            <w:color w:val="0000FF"/>
            <w:u w:val="single"/>
          </w:rPr>
          <w:t>of</w:t>
        </w:r>
        <w:proofErr w:type="gramEnd"/>
        <w:r>
          <w:rPr>
            <w:i/>
            <w:iCs/>
            <w:color w:val="0000FF"/>
            <w:u w:val="single"/>
          </w:rPr>
          <w:t xml:space="preserve"> Civil Av</w:t>
        </w:r>
        <w:r>
          <w:rPr>
            <w:i/>
            <w:iCs/>
            <w:color w:val="0000FF"/>
            <w:u w:val="single"/>
          </w:rPr>
          <w:t>i</w:t>
        </w:r>
        <w:r>
          <w:rPr>
            <w:i/>
            <w:iCs/>
            <w:color w:val="0000FF"/>
            <w:u w:val="single"/>
          </w:rPr>
          <w:t>ation of the People's Republic of China,</w:t>
        </w:r>
      </w:hyperlink>
      <w:hyperlink r:id="rId140" w:history="1">
        <w:r>
          <w:rPr>
            <w:color w:val="0000FF"/>
            <w:u w:val="single"/>
          </w:rPr>
          <w:t xml:space="preserve"> 923 F.2d 957 (2d Cir.1991)</w:t>
        </w:r>
      </w:hyperlink>
      <w:r>
        <w:rPr>
          <w:color w:val="000000"/>
        </w:rPr>
        <w:t xml:space="preserve"> (applying New York choice of law principles in FSIA action and selecting Chinese law, which strictly limited damages in aviation cases).</w:t>
      </w:r>
    </w:p>
    <w:p w14:paraId="2E8F5AA6" w14:textId="77777777" w:rsidR="003C7122" w:rsidRDefault="003C7122">
      <w:pPr>
        <w:widowControl w:val="0"/>
        <w:autoSpaceDE w:val="0"/>
        <w:autoSpaceDN w:val="0"/>
        <w:adjustRightInd w:val="0"/>
        <w:rPr>
          <w:color w:val="000000"/>
          <w:sz w:val="24"/>
          <w:szCs w:val="24"/>
        </w:rPr>
      </w:pPr>
    </w:p>
    <w:p w14:paraId="4C9558F6" w14:textId="77777777" w:rsidR="003C7122" w:rsidRDefault="00D75BF9">
      <w:pPr>
        <w:widowControl w:val="0"/>
        <w:autoSpaceDE w:val="0"/>
        <w:autoSpaceDN w:val="0"/>
        <w:adjustRightInd w:val="0"/>
        <w:ind w:left="900"/>
        <w:jc w:val="both"/>
        <w:rPr>
          <w:color w:val="000000"/>
          <w:sz w:val="24"/>
          <w:szCs w:val="24"/>
        </w:rPr>
      </w:pPr>
      <w:r>
        <w:rPr>
          <w:color w:val="000000"/>
        </w:rPr>
        <w:t xml:space="preserve">The history of the ATA evidences congressional intent that non-pecuniary damages be available in a suit under the ATA. For instance, during hearings in 1990 on the provision that became </w:t>
      </w:r>
      <w:hyperlink r:id="rId141" w:history="1">
        <w:r>
          <w:rPr>
            <w:color w:val="0000FF"/>
            <w:u w:val="single"/>
          </w:rPr>
          <w:t>Section 2333(a)</w:t>
        </w:r>
      </w:hyperlink>
      <w:r>
        <w:rPr>
          <w:color w:val="000000"/>
        </w:rPr>
        <w:t xml:space="preserve">, former Justice Department official Joseph A. Morris </w:t>
      </w:r>
      <w:proofErr w:type="gramStart"/>
      <w:r>
        <w:rPr>
          <w:color w:val="000000"/>
        </w:rPr>
        <w:t>explained that</w:t>
      </w:r>
      <w:proofErr w:type="gramEnd"/>
      <w:r>
        <w:rPr>
          <w:color w:val="000000"/>
        </w:rPr>
        <w:t xml:space="preserve"> “American victims seeking compe</w:t>
      </w:r>
      <w:r>
        <w:rPr>
          <w:color w:val="000000"/>
        </w:rPr>
        <w:t>n</w:t>
      </w:r>
      <w:r>
        <w:rPr>
          <w:color w:val="000000"/>
        </w:rPr>
        <w:t>sation for physical, psychological, and economic injuries naturally turn to the common law of tort. Ame</w:t>
      </w:r>
      <w:r>
        <w:rPr>
          <w:color w:val="000000"/>
        </w:rPr>
        <w:t>r</w:t>
      </w:r>
      <w:r>
        <w:rPr>
          <w:color w:val="000000"/>
        </w:rPr>
        <w:t>ican tort law in general would speak quite effectively to the facts and circumstances of most terrorist a</w:t>
      </w:r>
      <w:r>
        <w:rPr>
          <w:color w:val="000000"/>
        </w:rPr>
        <w:t>c</w:t>
      </w:r>
      <w:r>
        <w:rPr>
          <w:color w:val="000000"/>
        </w:rPr>
        <w:t xml:space="preserve">tions not involving acts of state by foreign governments.” Antiterrorism Act of 1990, Hearing before the Subcommittee on Courts and Administrative Practice, Senate Committee on the Judiciary, 101st Cong., 2d Sess. (1990), at 83. The hearings also indicate that the ATA was intended “to make certain the ability of family members to file a lawsuit on behalf of a slain or injured relative.” </w:t>
      </w:r>
      <w:proofErr w:type="gramStart"/>
      <w:r>
        <w:rPr>
          <w:i/>
          <w:iCs/>
          <w:color w:val="000000"/>
        </w:rPr>
        <w:t>Id.</w:t>
      </w:r>
      <w:r>
        <w:rPr>
          <w:color w:val="000000"/>
        </w:rPr>
        <w:t xml:space="preserve"> at 46 (Statement of Sen</w:t>
      </w:r>
      <w:r>
        <w:rPr>
          <w:color w:val="000000"/>
        </w:rPr>
        <w:t>a</w:t>
      </w:r>
      <w:r>
        <w:rPr>
          <w:color w:val="000000"/>
        </w:rPr>
        <w:t>tor Thurmond).</w:t>
      </w:r>
      <w:proofErr w:type="gramEnd"/>
      <w:r>
        <w:rPr>
          <w:color w:val="000000"/>
        </w:rPr>
        <w:t xml:space="preserve"> In addition, the ATA's failure to include any language explicitly limiting a plaintiff's remedy to pecuniary damages is strongly suggestive of congressional intent that loss of solatium dama</w:t>
      </w:r>
      <w:r>
        <w:rPr>
          <w:color w:val="000000"/>
        </w:rPr>
        <w:t>g</w:t>
      </w:r>
      <w:r>
        <w:rPr>
          <w:color w:val="000000"/>
        </w:rPr>
        <w:t xml:space="preserve">es be available given the growing consensus among the states to allow such damages. Finally, </w:t>
      </w:r>
      <w:hyperlink r:id="rId142" w:history="1">
        <w:r>
          <w:rPr>
            <w:color w:val="0000FF"/>
            <w:u w:val="single"/>
          </w:rPr>
          <w:t>§ 2334(d)</w:t>
        </w:r>
      </w:hyperlink>
      <w:r>
        <w:rPr>
          <w:color w:val="000000"/>
        </w:rPr>
        <w:t>'s assurance that ATA actions would not be dismissed in favor of a jurisdiction with less favorable rem</w:t>
      </w:r>
      <w:r>
        <w:rPr>
          <w:color w:val="000000"/>
        </w:rPr>
        <w:t>e</w:t>
      </w:r>
      <w:r>
        <w:rPr>
          <w:color w:val="000000"/>
        </w:rPr>
        <w:t xml:space="preserve">dies suggests congressional intent to allow broad remedies under U.S. law, because “the deterrent effect of the legislation will be maximized if it is interpreted to subject terrorists to the broadest possible range of damages.” </w:t>
      </w:r>
      <w:hyperlink r:id="rId143" w:history="1">
        <w:proofErr w:type="gramStart"/>
        <w:r>
          <w:rPr>
            <w:i/>
            <w:iCs/>
            <w:color w:val="0000FF"/>
            <w:u w:val="single"/>
          </w:rPr>
          <w:t>Estates of Ungar ex rel. Strachman v. Palestinian Authority,</w:t>
        </w:r>
      </w:hyperlink>
      <w:hyperlink r:id="rId144" w:history="1">
        <w:r>
          <w:rPr>
            <w:color w:val="0000FF"/>
            <w:u w:val="single"/>
          </w:rPr>
          <w:t xml:space="preserve"> 304 F.Supp.2d 232, 267 (D.R.I.2004)</w:t>
        </w:r>
      </w:hyperlink>
      <w:r>
        <w:rPr>
          <w:color w:val="000000"/>
        </w:rPr>
        <w:t>.</w:t>
      </w:r>
      <w:proofErr w:type="gramEnd"/>
      <w:r>
        <w:rPr>
          <w:color w:val="000000"/>
        </w:rPr>
        <w:t xml:space="preserve"> Application of Israeli law would thus contravene Congress' implied intent (evident in the ATA's language and history, and particularly in its unique FNC provision) to ensure that plaintiffs could recover the full range of remedies under United States tort law. Accordingly, it seems that Congress i</w:t>
      </w:r>
      <w:r>
        <w:rPr>
          <w:color w:val="000000"/>
        </w:rPr>
        <w:t>n</w:t>
      </w:r>
      <w:r>
        <w:rPr>
          <w:color w:val="000000"/>
        </w:rPr>
        <w:t xml:space="preserve">tended that damages under the ATA be calculated by reference to federal common law, consonant with federal maritime common law, to include such loss of solatium damages. </w:t>
      </w:r>
      <w:r>
        <w:rPr>
          <w:i/>
          <w:iCs/>
          <w:color w:val="000000"/>
        </w:rPr>
        <w:t xml:space="preserve">See </w:t>
      </w:r>
      <w:hyperlink r:id="rId145" w:history="1">
        <w:r>
          <w:rPr>
            <w:i/>
            <w:iCs/>
            <w:color w:val="0000FF"/>
            <w:u w:val="single"/>
          </w:rPr>
          <w:t>In re Gaston &amp; Snow,</w:t>
        </w:r>
      </w:hyperlink>
      <w:hyperlink r:id="rId146" w:history="1">
        <w:r>
          <w:rPr>
            <w:color w:val="0000FF"/>
            <w:u w:val="single"/>
          </w:rPr>
          <w:t xml:space="preserve"> 243 F.3d 599, 607 (2d Cir.2001)</w:t>
        </w:r>
      </w:hyperlink>
      <w:r>
        <w:rPr>
          <w:color w:val="000000"/>
        </w:rPr>
        <w:t xml:space="preserve"> (“[</w:t>
      </w:r>
      <w:proofErr w:type="gramStart"/>
      <w:r>
        <w:rPr>
          <w:color w:val="000000"/>
        </w:rPr>
        <w:t>A]pplication</w:t>
      </w:r>
      <w:proofErr w:type="gramEnd"/>
      <w:r>
        <w:rPr>
          <w:color w:val="000000"/>
        </w:rPr>
        <w:t xml:space="preserve"> of a federal rule is not foreclosed by </w:t>
      </w:r>
      <w:r>
        <w:rPr>
          <w:i/>
          <w:iCs/>
          <w:color w:val="000000"/>
        </w:rPr>
        <w:t>Erie</w:t>
      </w:r>
      <w:r>
        <w:rPr>
          <w:color w:val="000000"/>
        </w:rPr>
        <w:t xml:space="preserve"> where there is a significant federal interest.”).</w:t>
      </w:r>
    </w:p>
    <w:p w14:paraId="1882BA39" w14:textId="77777777" w:rsidR="003C7122" w:rsidRDefault="003C7122">
      <w:pPr>
        <w:widowControl w:val="0"/>
        <w:autoSpaceDE w:val="0"/>
        <w:autoSpaceDN w:val="0"/>
        <w:adjustRightInd w:val="0"/>
        <w:rPr>
          <w:color w:val="000000"/>
          <w:sz w:val="24"/>
          <w:szCs w:val="24"/>
        </w:rPr>
      </w:pPr>
    </w:p>
    <w:p w14:paraId="6A2EE2EA" w14:textId="77777777" w:rsidR="003C7122" w:rsidRDefault="00D24980">
      <w:pPr>
        <w:widowControl w:val="0"/>
        <w:autoSpaceDE w:val="0"/>
        <w:autoSpaceDN w:val="0"/>
        <w:adjustRightInd w:val="0"/>
        <w:ind w:left="720"/>
        <w:jc w:val="both"/>
        <w:rPr>
          <w:color w:val="000000"/>
          <w:sz w:val="24"/>
          <w:szCs w:val="24"/>
        </w:rPr>
      </w:pPr>
      <w:hyperlink w:anchor="Document1zzF011112021482735" w:history="1">
        <w:r w:rsidR="00D75BF9">
          <w:rPr>
            <w:color w:val="0000FF"/>
            <w:u w:val="single"/>
          </w:rPr>
          <w:t>FN11.</w:t>
        </w:r>
      </w:hyperlink>
      <w:bookmarkStart w:id="36" w:name="Document1zzB011112021482735"/>
      <w:bookmarkEnd w:id="36"/>
      <w:r w:rsidR="00D75BF9">
        <w:rPr>
          <w:color w:val="000000"/>
        </w:rPr>
        <w:t xml:space="preserve"> The term “loss of consortium” includes “such elements as love, companionship, affection, society, sexual relations, solace and more.” </w:t>
      </w:r>
      <w:hyperlink r:id="rId147" w:history="1">
        <w:proofErr w:type="gramStart"/>
        <w:r w:rsidR="00D75BF9">
          <w:rPr>
            <w:i/>
            <w:iCs/>
            <w:color w:val="0000FF"/>
            <w:u w:val="single"/>
          </w:rPr>
          <w:t>Battista v. U.S.,</w:t>
        </w:r>
      </w:hyperlink>
      <w:hyperlink r:id="rId148" w:history="1">
        <w:r w:rsidR="00D75BF9">
          <w:rPr>
            <w:color w:val="0000FF"/>
            <w:u w:val="single"/>
          </w:rPr>
          <w:t xml:space="preserve"> 889 F.Supp.</w:t>
        </w:r>
        <w:proofErr w:type="gramEnd"/>
        <w:r w:rsidR="00D75BF9">
          <w:rPr>
            <w:color w:val="0000FF"/>
            <w:u w:val="single"/>
          </w:rPr>
          <w:t xml:space="preserve"> </w:t>
        </w:r>
        <w:proofErr w:type="gramStart"/>
        <w:r w:rsidR="00D75BF9">
          <w:rPr>
            <w:color w:val="0000FF"/>
            <w:u w:val="single"/>
          </w:rPr>
          <w:t>716, 729 (S.D.N.Y.1995)</w:t>
        </w:r>
      </w:hyperlink>
      <w:r w:rsidR="00D75BF9">
        <w:rPr>
          <w:color w:val="000000"/>
        </w:rPr>
        <w:t xml:space="preserve"> (citing </w:t>
      </w:r>
      <w:hyperlink r:id="rId149" w:history="1">
        <w:r w:rsidR="00D75BF9">
          <w:rPr>
            <w:i/>
            <w:iCs/>
            <w:color w:val="0000FF"/>
            <w:u w:val="single"/>
          </w:rPr>
          <w:t>Millin</w:t>
        </w:r>
        <w:r w:rsidR="00D75BF9">
          <w:rPr>
            <w:i/>
            <w:iCs/>
            <w:color w:val="0000FF"/>
            <w:u w:val="single"/>
          </w:rPr>
          <w:t>g</w:t>
        </w:r>
        <w:r w:rsidR="00D75BF9">
          <w:rPr>
            <w:i/>
            <w:iCs/>
            <w:color w:val="0000FF"/>
            <w:u w:val="single"/>
          </w:rPr>
          <w:t>ton v. Southeastern Elevator Co.,</w:t>
        </w:r>
      </w:hyperlink>
      <w:hyperlink r:id="rId150" w:history="1">
        <w:r w:rsidR="00D75BF9">
          <w:rPr>
            <w:color w:val="0000FF"/>
            <w:u w:val="single"/>
          </w:rPr>
          <w:t xml:space="preserve"> 22 N.Y.2d 498, 293 N.Y.S.2d 305, 308, 239 N.E.2d 897 (N.Y.1968)</w:t>
        </w:r>
      </w:hyperlink>
      <w:r w:rsidR="00D75BF9">
        <w:rPr>
          <w:color w:val="000000"/>
        </w:rPr>
        <w:t>).</w:t>
      </w:r>
      <w:proofErr w:type="gramEnd"/>
      <w:r w:rsidR="00D75BF9">
        <w:rPr>
          <w:color w:val="000000"/>
        </w:rPr>
        <w:t xml:space="preserve"> “Solatium” refers to damages attributable to mental anguish. </w:t>
      </w:r>
      <w:r w:rsidR="00D75BF9">
        <w:rPr>
          <w:i/>
          <w:iCs/>
          <w:color w:val="000000"/>
        </w:rPr>
        <w:t xml:space="preserve">See </w:t>
      </w:r>
      <w:hyperlink r:id="rId151" w:history="1">
        <w:r w:rsidR="00D75BF9">
          <w:rPr>
            <w:i/>
            <w:iCs/>
            <w:color w:val="0000FF"/>
            <w:u w:val="single"/>
          </w:rPr>
          <w:t>Knox v. Palestine Liberation Organiz</w:t>
        </w:r>
        <w:r w:rsidR="00D75BF9">
          <w:rPr>
            <w:i/>
            <w:iCs/>
            <w:color w:val="0000FF"/>
            <w:u w:val="single"/>
          </w:rPr>
          <w:t>a</w:t>
        </w:r>
        <w:r w:rsidR="00D75BF9">
          <w:rPr>
            <w:i/>
            <w:iCs/>
            <w:color w:val="0000FF"/>
            <w:u w:val="single"/>
          </w:rPr>
          <w:t>tion,</w:t>
        </w:r>
      </w:hyperlink>
      <w:hyperlink r:id="rId152" w:history="1">
        <w:r w:rsidR="00D75BF9">
          <w:rPr>
            <w:color w:val="0000FF"/>
            <w:u w:val="single"/>
          </w:rPr>
          <w:t xml:space="preserve"> 442 F.Supp.2d 62 (S.D.N.Y.2006)</w:t>
        </w:r>
      </w:hyperlink>
      <w:r w:rsidR="00D75BF9">
        <w:rPr>
          <w:color w:val="000000"/>
        </w:rPr>
        <w:t>.</w:t>
      </w:r>
    </w:p>
    <w:p w14:paraId="23C40C6B" w14:textId="77777777" w:rsidR="003C7122" w:rsidRDefault="003C7122">
      <w:pPr>
        <w:widowControl w:val="0"/>
        <w:autoSpaceDE w:val="0"/>
        <w:autoSpaceDN w:val="0"/>
        <w:adjustRightInd w:val="0"/>
        <w:rPr>
          <w:color w:val="000000"/>
          <w:sz w:val="24"/>
          <w:szCs w:val="24"/>
        </w:rPr>
      </w:pPr>
    </w:p>
    <w:p w14:paraId="331D1D71" w14:textId="77777777" w:rsidR="003C7122" w:rsidRDefault="00D24980">
      <w:pPr>
        <w:widowControl w:val="0"/>
        <w:autoSpaceDE w:val="0"/>
        <w:autoSpaceDN w:val="0"/>
        <w:adjustRightInd w:val="0"/>
        <w:ind w:firstLine="360"/>
        <w:jc w:val="both"/>
        <w:rPr>
          <w:color w:val="000000"/>
          <w:sz w:val="24"/>
          <w:szCs w:val="24"/>
        </w:rPr>
      </w:pPr>
      <w:hyperlink w:anchor="Document1zzF12021482735" w:history="1">
        <w:r w:rsidR="00D75BF9">
          <w:rPr>
            <w:color w:val="0000FF"/>
            <w:u w:val="single"/>
          </w:rPr>
          <w:t>[1]</w:t>
        </w:r>
      </w:hyperlink>
      <w:bookmarkStart w:id="37" w:name="Document1zzB12021482735"/>
      <w:bookmarkEnd w:id="37"/>
      <w:r w:rsidR="00D75BF9">
        <w:rPr>
          <w:color w:val="000000"/>
        </w:rPr>
        <w:t xml:space="preserve"> First, by failing to timely raise such an argument during the briefing of its motion to dismiss, defendant waived its right to seek reconsideration on this point. The suggestion of conditioning FNC dismissal on defendant's stipulating to solatium or loss of consortium damages was raised nowhere in defendant's 85 pages of briefing on its motion to dismiss, or in the two declarations of its Israeli law expert, which contained 117 numbered paragraphs spanning 41 pages (excluding exhibits). It was also not mentioned in any communication to the court, including d</w:t>
      </w:r>
      <w:r w:rsidR="00D75BF9">
        <w:rPr>
          <w:color w:val="000000"/>
        </w:rPr>
        <w:t>e</w:t>
      </w:r>
      <w:r w:rsidR="00D75BF9">
        <w:rPr>
          <w:color w:val="000000"/>
        </w:rPr>
        <w:t>fendant's August 13, 2008 letter “to supplement” its motion to dismiss, and defendant does not allege that this option was raised with plaintiffs' counsel prior to the September 21, 2009 oral argument.</w:t>
      </w:r>
      <w:hyperlink w:anchor="Document1zzB012122021482735" w:history="1">
        <w:r w:rsidR="00D75BF9">
          <w:rPr>
            <w:color w:val="0000FF"/>
            <w:u w:val="single"/>
            <w:vertAlign w:val="superscript"/>
          </w:rPr>
          <w:t>FN12</w:t>
        </w:r>
      </w:hyperlink>
      <w:bookmarkStart w:id="38" w:name="Document1zzF012122021482735"/>
      <w:bookmarkEnd w:id="38"/>
      <w:r w:rsidR="00D75BF9">
        <w:rPr>
          <w:color w:val="000000"/>
        </w:rPr>
        <w:t xml:space="preserve"> Rather, defendant raised the possibility of stipulating to solatium or loss of consortium damages for the first time in the last moments of its rebu</w:t>
      </w:r>
      <w:r w:rsidR="00D75BF9">
        <w:rPr>
          <w:color w:val="000000"/>
        </w:rPr>
        <w:t>t</w:t>
      </w:r>
      <w:r w:rsidR="00D75BF9">
        <w:rPr>
          <w:color w:val="000000"/>
        </w:rPr>
        <w:t>tal on oral argument.</w:t>
      </w:r>
      <w:hyperlink w:anchor="Document1zzB013132021482735" w:history="1">
        <w:r w:rsidR="00D75BF9">
          <w:rPr>
            <w:color w:val="0000FF"/>
            <w:u w:val="single"/>
            <w:vertAlign w:val="superscript"/>
          </w:rPr>
          <w:t>FN13</w:t>
        </w:r>
      </w:hyperlink>
      <w:bookmarkStart w:id="39" w:name="Document1zzF013132021482735"/>
      <w:bookmarkEnd w:id="39"/>
    </w:p>
    <w:p w14:paraId="7EFF5735" w14:textId="77777777" w:rsidR="003C7122" w:rsidRDefault="003C7122">
      <w:pPr>
        <w:widowControl w:val="0"/>
        <w:autoSpaceDE w:val="0"/>
        <w:autoSpaceDN w:val="0"/>
        <w:adjustRightInd w:val="0"/>
        <w:rPr>
          <w:color w:val="000000"/>
          <w:sz w:val="24"/>
          <w:szCs w:val="24"/>
        </w:rPr>
      </w:pPr>
    </w:p>
    <w:p w14:paraId="24C18052" w14:textId="77777777" w:rsidR="003C7122" w:rsidRDefault="00D24980">
      <w:pPr>
        <w:widowControl w:val="0"/>
        <w:autoSpaceDE w:val="0"/>
        <w:autoSpaceDN w:val="0"/>
        <w:adjustRightInd w:val="0"/>
        <w:ind w:left="720"/>
        <w:jc w:val="both"/>
        <w:rPr>
          <w:color w:val="000000"/>
          <w:sz w:val="24"/>
          <w:szCs w:val="24"/>
        </w:rPr>
      </w:pPr>
      <w:hyperlink w:anchor="Document1zzF012122021482735" w:history="1">
        <w:r w:rsidR="00D75BF9">
          <w:rPr>
            <w:color w:val="0000FF"/>
            <w:u w:val="single"/>
          </w:rPr>
          <w:t>FN12.</w:t>
        </w:r>
      </w:hyperlink>
      <w:bookmarkStart w:id="40" w:name="Document1zzB012122021482735"/>
      <w:bookmarkEnd w:id="40"/>
      <w:r w:rsidR="00D75BF9">
        <w:rPr>
          <w:color w:val="000000"/>
        </w:rPr>
        <w:t xml:space="preserve"> In an unsworn statement, plaintiffs' counsel asserts that the possibility of a stipulation regarding s</w:t>
      </w:r>
      <w:r w:rsidR="00D75BF9">
        <w:rPr>
          <w:color w:val="000000"/>
        </w:rPr>
        <w:t>o</w:t>
      </w:r>
      <w:r w:rsidR="00D75BF9">
        <w:rPr>
          <w:color w:val="000000"/>
        </w:rPr>
        <w:t>latium or loss of consortium damages was never proposed to plaintiffs' counsel. Plaintiffs' Brief in Oppos</w:t>
      </w:r>
      <w:r w:rsidR="00D75BF9">
        <w:rPr>
          <w:color w:val="000000"/>
        </w:rPr>
        <w:t>i</w:t>
      </w:r>
      <w:r w:rsidR="00D75BF9">
        <w:rPr>
          <w:color w:val="000000"/>
        </w:rPr>
        <w:t>tion to Defendant's Motion for Reconsideration (“Pl. Rec. Br.”) at 2.</w:t>
      </w:r>
    </w:p>
    <w:p w14:paraId="2E648B34" w14:textId="77777777" w:rsidR="003C7122" w:rsidRDefault="003C7122">
      <w:pPr>
        <w:widowControl w:val="0"/>
        <w:autoSpaceDE w:val="0"/>
        <w:autoSpaceDN w:val="0"/>
        <w:adjustRightInd w:val="0"/>
        <w:rPr>
          <w:color w:val="000000"/>
          <w:sz w:val="24"/>
          <w:szCs w:val="24"/>
        </w:rPr>
      </w:pPr>
    </w:p>
    <w:p w14:paraId="623D1352" w14:textId="77777777" w:rsidR="003C7122" w:rsidRDefault="00D24980">
      <w:pPr>
        <w:widowControl w:val="0"/>
        <w:autoSpaceDE w:val="0"/>
        <w:autoSpaceDN w:val="0"/>
        <w:adjustRightInd w:val="0"/>
        <w:ind w:left="720"/>
        <w:jc w:val="both"/>
        <w:rPr>
          <w:color w:val="000000"/>
          <w:sz w:val="24"/>
          <w:szCs w:val="24"/>
        </w:rPr>
      </w:pPr>
      <w:hyperlink w:anchor="Document1zzF013132021482735" w:history="1">
        <w:r w:rsidR="00D75BF9">
          <w:rPr>
            <w:color w:val="0000FF"/>
            <w:u w:val="single"/>
          </w:rPr>
          <w:t>FN13.</w:t>
        </w:r>
      </w:hyperlink>
      <w:bookmarkStart w:id="41" w:name="Document1zzB013132021482735"/>
      <w:bookmarkEnd w:id="41"/>
      <w:r w:rsidR="00D75BF9">
        <w:rPr>
          <w:color w:val="000000"/>
        </w:rPr>
        <w:t xml:space="preserve"> The relevant portion of the oral argument, found on pages 23-24 of the 24 page transcript, reads:</w:t>
      </w:r>
    </w:p>
    <w:p w14:paraId="5C1B0AED" w14:textId="77777777" w:rsidR="003C7122" w:rsidRDefault="003C7122">
      <w:pPr>
        <w:widowControl w:val="0"/>
        <w:autoSpaceDE w:val="0"/>
        <w:autoSpaceDN w:val="0"/>
        <w:adjustRightInd w:val="0"/>
        <w:rPr>
          <w:color w:val="000000"/>
          <w:sz w:val="24"/>
          <w:szCs w:val="24"/>
        </w:rPr>
      </w:pPr>
    </w:p>
    <w:p w14:paraId="147F13A5" w14:textId="77777777" w:rsidR="003C7122" w:rsidRDefault="00D75BF9">
      <w:pPr>
        <w:widowControl w:val="0"/>
        <w:autoSpaceDE w:val="0"/>
        <w:autoSpaceDN w:val="0"/>
        <w:adjustRightInd w:val="0"/>
        <w:ind w:left="900"/>
        <w:jc w:val="both"/>
        <w:rPr>
          <w:color w:val="000000"/>
          <w:sz w:val="24"/>
          <w:szCs w:val="24"/>
        </w:rPr>
      </w:pPr>
      <w:r>
        <w:rPr>
          <w:color w:val="000000"/>
        </w:rPr>
        <w:t>With respect to the argument about solatium, loss of consortium, let me say several things. First of all, we've set forth authority for the proposition that the phrase “injury in person” does not include those types of elements, a term of art that is a term of limitation that wouldn't include loss of consortium or s</w:t>
      </w:r>
      <w:r>
        <w:rPr>
          <w:color w:val="000000"/>
        </w:rPr>
        <w:t>o</w:t>
      </w:r>
      <w:r>
        <w:rPr>
          <w:color w:val="000000"/>
        </w:rPr>
        <w:t>latium. Secondly, to the extent it does, again there are differences in the types of recovery that could be obtained, counterbalanced by what the Goldbergs can be taken in Israel, loss of life, future earnings, life expectancy. Third, as your Honor knows, you can condition any FNC order with any conditions you want, obviously reasonable conditions. One condition you could impose is that if there's FNC, UBS would have to stipulate to loss of solatium or loss of consortium damages in the other jurisdiction as we have offered to stipulate to trebling any compensatory damages award in Israel.</w:t>
      </w:r>
    </w:p>
    <w:p w14:paraId="6A2169D8" w14:textId="77777777" w:rsidR="003C7122" w:rsidRDefault="003C7122">
      <w:pPr>
        <w:widowControl w:val="0"/>
        <w:autoSpaceDE w:val="0"/>
        <w:autoSpaceDN w:val="0"/>
        <w:adjustRightInd w:val="0"/>
        <w:rPr>
          <w:color w:val="000000"/>
          <w:sz w:val="24"/>
          <w:szCs w:val="24"/>
        </w:rPr>
      </w:pPr>
    </w:p>
    <w:p w14:paraId="1EE6798F"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Because the possibility of a stipulation concerning nonpecuniary damages was not raised until this late point, defendant cannot raise it now. </w:t>
      </w:r>
      <w:r>
        <w:rPr>
          <w:i/>
          <w:iCs/>
          <w:color w:val="000000"/>
        </w:rPr>
        <w:t xml:space="preserve">See </w:t>
      </w:r>
      <w:hyperlink r:id="rId153" w:history="1">
        <w:r>
          <w:rPr>
            <w:i/>
            <w:iCs/>
            <w:color w:val="0000FF"/>
            <w:u w:val="single"/>
          </w:rPr>
          <w:t>Nobel Ins. Co. v. City of New York,</w:t>
        </w:r>
      </w:hyperlink>
      <w:hyperlink r:id="rId154" w:history="1">
        <w:r>
          <w:rPr>
            <w:color w:val="0000FF"/>
            <w:u w:val="single"/>
          </w:rPr>
          <w:t xml:space="preserve"> No. 00-CV-1328 (KMK), 2006 WL 2848121, at *16 (S.D.N.Y. Sept. 29, 2006)</w:t>
        </w:r>
      </w:hyperlink>
      <w:r>
        <w:rPr>
          <w:color w:val="000000"/>
        </w:rPr>
        <w:t xml:space="preserve"> (alteration in original) (“Normally, [the Court] will not consider arguments raised for the first time in a reply brief, let alone [at or] after oral argument.”); </w:t>
      </w:r>
      <w:r>
        <w:rPr>
          <w:i/>
          <w:iCs/>
          <w:color w:val="000000"/>
        </w:rPr>
        <w:t xml:space="preserve">see also </w:t>
      </w:r>
      <w:hyperlink r:id="rId155" w:history="1">
        <w:r>
          <w:rPr>
            <w:i/>
            <w:iCs/>
            <w:color w:val="0000FF"/>
            <w:u w:val="single"/>
          </w:rPr>
          <w:t>Halpert Enters., Inc. v. Harrison,</w:t>
        </w:r>
      </w:hyperlink>
      <w:hyperlink r:id="rId156" w:history="1">
        <w:r>
          <w:rPr>
            <w:color w:val="0000FF"/>
            <w:u w:val="single"/>
          </w:rPr>
          <w:t xml:space="preserve"> No. 07-1144-cv, --- Fed.Appx. ----, ----, 2008 WL 4585466, at *3 (2d Cir. Oct. 15, 2008)</w:t>
        </w:r>
      </w:hyperlink>
      <w:r>
        <w:rPr>
          <w:color w:val="000000"/>
        </w:rPr>
        <w:t xml:space="preserve"> (“[</w:t>
      </w:r>
      <w:proofErr w:type="gramStart"/>
      <w:r>
        <w:rPr>
          <w:color w:val="000000"/>
        </w:rPr>
        <w:t>G]iven</w:t>
      </w:r>
      <w:proofErr w:type="gramEnd"/>
      <w:r>
        <w:rPr>
          <w:color w:val="000000"/>
        </w:rPr>
        <w:t xml:space="preserve"> [defendant's] failure to mention this argument [in its papers], raising any such claim even explicitly at oral argument would have been to no avail.” (</w:t>
      </w:r>
      <w:proofErr w:type="gramStart"/>
      <w:r>
        <w:rPr>
          <w:color w:val="000000"/>
        </w:rPr>
        <w:t>citing</w:t>
      </w:r>
      <w:proofErr w:type="gramEnd"/>
      <w:r>
        <w:rPr>
          <w:color w:val="000000"/>
        </w:rPr>
        <w:t xml:space="preserve"> </w:t>
      </w:r>
      <w:hyperlink r:id="rId157" w:history="1">
        <w:r>
          <w:rPr>
            <w:i/>
            <w:iCs/>
            <w:color w:val="0000FF"/>
            <w:u w:val="single"/>
          </w:rPr>
          <w:t>In re Monster Worldwide, Inc. Sec. Litig.,</w:t>
        </w:r>
      </w:hyperlink>
      <w:hyperlink r:id="rId158" w:history="1">
        <w:r>
          <w:rPr>
            <w:color w:val="0000FF"/>
            <w:u w:val="single"/>
          </w:rPr>
          <w:t xml:space="preserve"> 251 F.R.D. 132, 137 (S.D.N.Y.2008)</w:t>
        </w:r>
      </w:hyperlink>
      <w:r>
        <w:rPr>
          <w:color w:val="000000"/>
        </w:rPr>
        <w:t xml:space="preserve"> (“[T]his argument was raised for the first time at oral argument and so was waived in terms of this motion.”))). In the a</w:t>
      </w:r>
      <w:r>
        <w:rPr>
          <w:color w:val="000000"/>
        </w:rPr>
        <w:t>b</w:t>
      </w:r>
      <w:r>
        <w:rPr>
          <w:color w:val="000000"/>
        </w:rPr>
        <w:t xml:space="preserve">sence of such a rule, parties would have an incentive to withhold certain claims or defenses until the last moment, lying in wait to spring onto their </w:t>
      </w:r>
      <w:proofErr w:type="gramStart"/>
      <w:r>
        <w:rPr>
          <w:color w:val="000000"/>
        </w:rPr>
        <w:t>opponents</w:t>
      </w:r>
      <w:proofErr w:type="gramEnd"/>
      <w:r>
        <w:rPr>
          <w:color w:val="000000"/>
        </w:rPr>
        <w:t xml:space="preserve"> unanticipated arguments in reply briefs or in the final moments of oral argument. Such an outcome would not only be inefficient, but also manifestly unjust. </w:t>
      </w:r>
      <w:hyperlink r:id="rId159" w:history="1">
        <w:proofErr w:type="gramStart"/>
        <w:r>
          <w:rPr>
            <w:i/>
            <w:iCs/>
            <w:color w:val="0000FF"/>
            <w:u w:val="single"/>
          </w:rPr>
          <w:t>Castro v. U.S.,</w:t>
        </w:r>
      </w:hyperlink>
      <w:hyperlink r:id="rId160" w:history="1">
        <w:r>
          <w:rPr>
            <w:color w:val="0000FF"/>
            <w:u w:val="single"/>
          </w:rPr>
          <w:t xml:space="preserve"> 540 U.S. 375, 386, 124 S.Ct. 786, 794, 157 L.Ed.2d 778 (2003)</w:t>
        </w:r>
      </w:hyperlink>
      <w:r>
        <w:rPr>
          <w:color w:val="000000"/>
        </w:rPr>
        <w:t xml:space="preserve"> (“Our adversary system is designed around the premise that the parties know what is best for them, and are responsible for advancing the facts and arguments entitling them to r</w:t>
      </w:r>
      <w:r>
        <w:rPr>
          <w:color w:val="000000"/>
        </w:rPr>
        <w:t>e</w:t>
      </w:r>
      <w:r>
        <w:rPr>
          <w:color w:val="000000"/>
        </w:rPr>
        <w:t>lief.”).</w:t>
      </w:r>
      <w:proofErr w:type="gramEnd"/>
    </w:p>
    <w:p w14:paraId="0AD2209E" w14:textId="77777777" w:rsidR="003C7122" w:rsidRDefault="003C7122">
      <w:pPr>
        <w:widowControl w:val="0"/>
        <w:autoSpaceDE w:val="0"/>
        <w:autoSpaceDN w:val="0"/>
        <w:adjustRightInd w:val="0"/>
        <w:rPr>
          <w:color w:val="000000"/>
          <w:sz w:val="24"/>
          <w:szCs w:val="24"/>
        </w:rPr>
      </w:pPr>
    </w:p>
    <w:p w14:paraId="3A3A13AF"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Second, defendant has not pointed to any controlling law or evidence overlooked by Judge Sifton. On a motion for reconsideration, “the moving party [must] point to controlling decisions or data that the court overlooked-matters, in other words, that might reasonably be expected to alter the conclusions reached by the court.” </w:t>
      </w:r>
      <w:hyperlink r:id="rId161" w:history="1">
        <w:proofErr w:type="gramStart"/>
        <w:r>
          <w:rPr>
            <w:i/>
            <w:iCs/>
            <w:color w:val="0000FF"/>
            <w:u w:val="single"/>
          </w:rPr>
          <w:t>New York v. Gutierrez,</w:t>
        </w:r>
      </w:hyperlink>
      <w:hyperlink r:id="rId162" w:history="1">
        <w:r>
          <w:rPr>
            <w:color w:val="0000FF"/>
            <w:u w:val="single"/>
          </w:rPr>
          <w:t xml:space="preserve"> 623 F.Supp.2d 301, 314 (E.D.N.Y.2009)</w:t>
        </w:r>
      </w:hyperlink>
      <w:r>
        <w:rPr>
          <w:color w:val="000000"/>
        </w:rPr>
        <w:t>.</w:t>
      </w:r>
      <w:proofErr w:type="gramEnd"/>
      <w:r>
        <w:rPr>
          <w:color w:val="000000"/>
        </w:rPr>
        <w:t xml:space="preserve"> Defendant does not point to a single case in which FNC was granted with any condition similar to the one they belatedly propose, much less cite a case in which the denial of FNC dismissal was found to be improper in similar circumstances. The sole basis of defendant's motion, that “the Court appears to have overlooked its own ability to eliminate </w:t>
      </w:r>
      <w:proofErr w:type="gramStart"/>
      <w:r>
        <w:rPr>
          <w:color w:val="000000"/>
        </w:rPr>
        <w:t>[ ]</w:t>
      </w:r>
      <w:proofErr w:type="gramEnd"/>
      <w:r>
        <w:rPr>
          <w:color w:val="000000"/>
        </w:rPr>
        <w:t xml:space="preserve"> distinctions between the ATA and Israeli law,” is controverted by the plain text of the September 24, 2009 opinion, in which Judge Sifton explicitly considered the possibility of imposing conditions on FNC dismissal, and indeed accepted one such condition proposed by defen</w:t>
      </w:r>
      <w:r>
        <w:rPr>
          <w:color w:val="000000"/>
        </w:rPr>
        <w:t>d</w:t>
      </w:r>
      <w:r>
        <w:rPr>
          <w:color w:val="000000"/>
        </w:rPr>
        <w:t xml:space="preserve">ant. </w:t>
      </w:r>
      <w:r>
        <w:rPr>
          <w:i/>
          <w:iCs/>
          <w:color w:val="000000"/>
        </w:rPr>
        <w:t xml:space="preserve">See </w:t>
      </w:r>
      <w:hyperlink r:id="rId163" w:history="1">
        <w:r>
          <w:rPr>
            <w:i/>
            <w:iCs/>
            <w:color w:val="0000FF"/>
            <w:u w:val="single"/>
          </w:rPr>
          <w:t>Goldberg,</w:t>
        </w:r>
      </w:hyperlink>
      <w:hyperlink r:id="rId164" w:history="1">
        <w:r>
          <w:rPr>
            <w:color w:val="0000FF"/>
            <w:u w:val="single"/>
          </w:rPr>
          <w:t xml:space="preserve"> 660 F.Supp.2d at 422 &amp; n. 13</w:t>
        </w:r>
      </w:hyperlink>
      <w:r>
        <w:rPr>
          <w:color w:val="000000"/>
        </w:rPr>
        <w:t xml:space="preserve"> (“Such stipulations can assuage courts' concerns regarding pote</w:t>
      </w:r>
      <w:r>
        <w:rPr>
          <w:color w:val="000000"/>
        </w:rPr>
        <w:t>n</w:t>
      </w:r>
      <w:r>
        <w:rPr>
          <w:color w:val="000000"/>
        </w:rPr>
        <w:t>tial deficiencies in the adequacy of a foreign tribunal, and a court may condition dismissal on the parties agreeing to such stipulations.”).</w:t>
      </w:r>
    </w:p>
    <w:p w14:paraId="6111E296" w14:textId="77777777" w:rsidR="003C7122" w:rsidRDefault="003C7122">
      <w:pPr>
        <w:widowControl w:val="0"/>
        <w:autoSpaceDE w:val="0"/>
        <w:autoSpaceDN w:val="0"/>
        <w:adjustRightInd w:val="0"/>
        <w:rPr>
          <w:color w:val="000000"/>
          <w:sz w:val="24"/>
          <w:szCs w:val="24"/>
        </w:rPr>
      </w:pPr>
    </w:p>
    <w:p w14:paraId="062E6F4F" w14:textId="77777777" w:rsidR="003C7122" w:rsidRDefault="00D75BF9">
      <w:pPr>
        <w:widowControl w:val="0"/>
        <w:autoSpaceDE w:val="0"/>
        <w:autoSpaceDN w:val="0"/>
        <w:adjustRightInd w:val="0"/>
        <w:ind w:firstLine="360"/>
        <w:jc w:val="both"/>
        <w:rPr>
          <w:color w:val="000000"/>
          <w:sz w:val="24"/>
          <w:szCs w:val="24"/>
        </w:rPr>
      </w:pPr>
      <w:r>
        <w:rPr>
          <w:color w:val="000000"/>
        </w:rPr>
        <w:t>Third, even if defendant had timely proposed “conditioning FNC dismissal on UBS stipulating that Plaintiffs could prove and recover U.S.-style lost consortium damages in an Israeli litigation,” Def. Rec. Br. at 1, this request should be rejected. Unlike defendants proposed stipulation to pay treble the damages imposed Israeli court, which requires no judging or application of law by the foreign tribunal, the proposed stipulation would require an Israeli forum to actively take evidence and judge the emotional damages suffered by plaintiffs. Such a condition is unlike those typically imposed by courts, and raises distinct concerns of comity and enforceability. Indeed, courts are hes</w:t>
      </w:r>
      <w:r>
        <w:rPr>
          <w:color w:val="000000"/>
        </w:rPr>
        <w:t>i</w:t>
      </w:r>
      <w:r>
        <w:rPr>
          <w:color w:val="000000"/>
        </w:rPr>
        <w:t>tant to impose U.S. law on foreign courts when such law is “an unwarranted intrusion on the [foreign] forum's pol</w:t>
      </w:r>
      <w:r>
        <w:rPr>
          <w:color w:val="000000"/>
        </w:rPr>
        <w:t>i</w:t>
      </w:r>
      <w:r>
        <w:rPr>
          <w:color w:val="000000"/>
        </w:rPr>
        <w:t xml:space="preserve">cies governing its judicial system.” </w:t>
      </w:r>
      <w:hyperlink r:id="rId165" w:history="1">
        <w:r>
          <w:rPr>
            <w:i/>
            <w:iCs/>
            <w:color w:val="0000FF"/>
            <w:u w:val="single"/>
          </w:rPr>
          <w:t>Gross v. British Broadcasting Corp.,</w:t>
        </w:r>
      </w:hyperlink>
      <w:hyperlink r:id="rId166" w:history="1">
        <w:r>
          <w:rPr>
            <w:color w:val="0000FF"/>
            <w:u w:val="single"/>
          </w:rPr>
          <w:t xml:space="preserve"> 386 F.3d 224, 234 (2d Cir.2004)</w:t>
        </w:r>
      </w:hyperlink>
      <w:r>
        <w:rPr>
          <w:color w:val="000000"/>
        </w:rPr>
        <w:t>. For e</w:t>
      </w:r>
      <w:r>
        <w:rPr>
          <w:color w:val="000000"/>
        </w:rPr>
        <w:t>x</w:t>
      </w:r>
      <w:r>
        <w:rPr>
          <w:color w:val="000000"/>
        </w:rPr>
        <w:t xml:space="preserve">ample, in </w:t>
      </w:r>
      <w:hyperlink r:id="rId167" w:history="1">
        <w:r>
          <w:rPr>
            <w:i/>
            <w:iCs/>
            <w:color w:val="0000FF"/>
            <w:u w:val="single"/>
          </w:rPr>
          <w:t>Gross,</w:t>
        </w:r>
      </w:hyperlink>
      <w:r>
        <w:rPr>
          <w:color w:val="000000"/>
        </w:rPr>
        <w:t xml:space="preserve"> the district court granted defendant BBC's motion to dismiss on FNC grounds only after the parties agreed to waive their statutory rights under British law relating to contingent fees and fee-shifting for prevailing parties. However, the Second Circuit reversed the district court's grant of FNC dismissal, emphasizing the i</w:t>
      </w:r>
      <w:r>
        <w:rPr>
          <w:color w:val="000000"/>
        </w:rPr>
        <w:t>m</w:t>
      </w:r>
      <w:r>
        <w:rPr>
          <w:color w:val="000000"/>
        </w:rPr>
        <w:t>portance of comity in FNC cases:</w:t>
      </w:r>
    </w:p>
    <w:p w14:paraId="3E70E2DF" w14:textId="77777777" w:rsidR="003C7122" w:rsidRDefault="003C7122">
      <w:pPr>
        <w:widowControl w:val="0"/>
        <w:autoSpaceDE w:val="0"/>
        <w:autoSpaceDN w:val="0"/>
        <w:adjustRightInd w:val="0"/>
        <w:rPr>
          <w:color w:val="000000"/>
          <w:sz w:val="24"/>
          <w:szCs w:val="24"/>
        </w:rPr>
      </w:pPr>
    </w:p>
    <w:p w14:paraId="0BBC4F32" w14:textId="77777777" w:rsidR="003C7122" w:rsidRDefault="00D75BF9">
      <w:pPr>
        <w:widowControl w:val="0"/>
        <w:autoSpaceDE w:val="0"/>
        <w:autoSpaceDN w:val="0"/>
        <w:adjustRightInd w:val="0"/>
        <w:ind w:left="180"/>
        <w:jc w:val="both"/>
        <w:rPr>
          <w:color w:val="000000"/>
          <w:sz w:val="24"/>
          <w:szCs w:val="24"/>
        </w:rPr>
      </w:pPr>
      <w:r>
        <w:rPr>
          <w:color w:val="000000"/>
        </w:rPr>
        <w:t xml:space="preserve">It is not uncommon for a district court to qualify a dismissal for forum </w:t>
      </w:r>
      <w:proofErr w:type="gramStart"/>
      <w:r>
        <w:rPr>
          <w:color w:val="000000"/>
        </w:rPr>
        <w:t>non conveniens</w:t>
      </w:r>
      <w:proofErr w:type="gramEnd"/>
      <w:r>
        <w:rPr>
          <w:color w:val="000000"/>
        </w:rPr>
        <w:t xml:space="preserve"> on the movant's acceptance of certain conditions to reduce the prejudice to the plaintiff. For example, if the district court is unsure that the d</w:t>
      </w:r>
      <w:r>
        <w:rPr>
          <w:color w:val="000000"/>
        </w:rPr>
        <w:t>e</w:t>
      </w:r>
      <w:r>
        <w:rPr>
          <w:color w:val="000000"/>
        </w:rPr>
        <w:t>fendant would in fact be amenable to suit in the proposed foreign forum, it may require the defendant to consent to jurisdiction in that forum before dismissing the case.</w:t>
      </w:r>
    </w:p>
    <w:p w14:paraId="5236DDE5" w14:textId="77777777" w:rsidR="003C7122" w:rsidRDefault="003C7122">
      <w:pPr>
        <w:widowControl w:val="0"/>
        <w:autoSpaceDE w:val="0"/>
        <w:autoSpaceDN w:val="0"/>
        <w:adjustRightInd w:val="0"/>
        <w:rPr>
          <w:color w:val="000000"/>
          <w:sz w:val="24"/>
          <w:szCs w:val="24"/>
        </w:rPr>
      </w:pPr>
    </w:p>
    <w:p w14:paraId="1DEB84E4" w14:textId="77777777" w:rsidR="003C7122" w:rsidRDefault="00D75BF9">
      <w:pPr>
        <w:widowControl w:val="0"/>
        <w:autoSpaceDE w:val="0"/>
        <w:autoSpaceDN w:val="0"/>
        <w:adjustRightInd w:val="0"/>
        <w:ind w:left="180"/>
        <w:jc w:val="both"/>
        <w:rPr>
          <w:color w:val="000000"/>
          <w:sz w:val="24"/>
          <w:szCs w:val="24"/>
        </w:rPr>
      </w:pPr>
      <w:r>
        <w:rPr>
          <w:color w:val="000000"/>
        </w:rPr>
        <w:t>...</w:t>
      </w:r>
    </w:p>
    <w:p w14:paraId="6F55EB7A" w14:textId="77777777" w:rsidR="003C7122" w:rsidRDefault="003C7122">
      <w:pPr>
        <w:widowControl w:val="0"/>
        <w:autoSpaceDE w:val="0"/>
        <w:autoSpaceDN w:val="0"/>
        <w:adjustRightInd w:val="0"/>
        <w:rPr>
          <w:color w:val="000000"/>
          <w:sz w:val="24"/>
          <w:szCs w:val="24"/>
        </w:rPr>
      </w:pPr>
    </w:p>
    <w:p w14:paraId="4E37A08E" w14:textId="77777777" w:rsidR="003C7122" w:rsidRDefault="00D75BF9">
      <w:pPr>
        <w:widowControl w:val="0"/>
        <w:autoSpaceDE w:val="0"/>
        <w:autoSpaceDN w:val="0"/>
        <w:adjustRightInd w:val="0"/>
        <w:ind w:left="180"/>
        <w:jc w:val="both"/>
        <w:rPr>
          <w:color w:val="000000"/>
          <w:sz w:val="24"/>
          <w:szCs w:val="24"/>
        </w:rPr>
      </w:pPr>
      <w:r>
        <w:rPr>
          <w:color w:val="000000"/>
        </w:rPr>
        <w:t>The conditions imposed in the case at bar are somewhat more troublesome to us because they are primarily inst</w:t>
      </w:r>
      <w:r>
        <w:rPr>
          <w:color w:val="000000"/>
        </w:rPr>
        <w:t>i</w:t>
      </w:r>
      <w:r>
        <w:rPr>
          <w:color w:val="000000"/>
        </w:rPr>
        <w:t>tutional rather than personal in nature.... There is a point at which conditions cease to be a limitation on the d</w:t>
      </w:r>
      <w:r>
        <w:rPr>
          <w:color w:val="000000"/>
        </w:rPr>
        <w:t>e</w:t>
      </w:r>
      <w:r>
        <w:rPr>
          <w:color w:val="000000"/>
        </w:rPr>
        <w:t>fendant and become instead an unwarranted intrusion on the transferee forum's policies governing its judicial sy</w:t>
      </w:r>
      <w:r>
        <w:rPr>
          <w:color w:val="000000"/>
        </w:rPr>
        <w:t>s</w:t>
      </w:r>
      <w:r>
        <w:rPr>
          <w:color w:val="000000"/>
        </w:rPr>
        <w:t xml:space="preserve">tem. By applying conditions that implicate the British legal system's rules on </w:t>
      </w:r>
      <w:proofErr w:type="gramStart"/>
      <w:r>
        <w:rPr>
          <w:color w:val="000000"/>
        </w:rPr>
        <w:t>fee-shifting</w:t>
      </w:r>
      <w:proofErr w:type="gramEnd"/>
      <w:r>
        <w:rPr>
          <w:color w:val="000000"/>
        </w:rPr>
        <w:t xml:space="preserve"> and the availability of contingent fees, the district court effectively stepped into the middle of Britain's policy debate on those issues. Principles of comity demand that we respect those policies. We urge the district courts to be cognizant of the pr</w:t>
      </w:r>
      <w:r>
        <w:rPr>
          <w:color w:val="000000"/>
        </w:rPr>
        <w:t>u</w:t>
      </w:r>
      <w:r>
        <w:rPr>
          <w:color w:val="000000"/>
        </w:rPr>
        <w:t>dential choices made by foreign nations and not to impose conditions on parties that may be viewed as having the effect of undermining the considered policies of the transferee forum.</w:t>
      </w:r>
    </w:p>
    <w:p w14:paraId="47173D87" w14:textId="77777777" w:rsidR="003C7122" w:rsidRDefault="003C7122">
      <w:pPr>
        <w:widowControl w:val="0"/>
        <w:autoSpaceDE w:val="0"/>
        <w:autoSpaceDN w:val="0"/>
        <w:adjustRightInd w:val="0"/>
        <w:rPr>
          <w:color w:val="000000"/>
          <w:sz w:val="24"/>
          <w:szCs w:val="24"/>
        </w:rPr>
      </w:pPr>
    </w:p>
    <w:p w14:paraId="61A04AFE"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168" w:history="1">
        <w:r>
          <w:rPr>
            <w:i/>
            <w:iCs/>
            <w:color w:val="0000FF"/>
            <w:u w:val="single"/>
          </w:rPr>
          <w:t>Id.</w:t>
        </w:r>
      </w:hyperlink>
      <w:hyperlink r:id="rId169" w:history="1">
        <w:r>
          <w:rPr>
            <w:color w:val="0000FF"/>
            <w:u w:val="single"/>
          </w:rPr>
          <w:t xml:space="preserve"> </w:t>
        </w:r>
        <w:proofErr w:type="gramStart"/>
        <w:r>
          <w:rPr>
            <w:color w:val="0000FF"/>
            <w:u w:val="single"/>
          </w:rPr>
          <w:t>at</w:t>
        </w:r>
        <w:proofErr w:type="gramEnd"/>
        <w:r>
          <w:rPr>
            <w:color w:val="0000FF"/>
            <w:u w:val="single"/>
          </w:rPr>
          <w:t xml:space="preserve"> 234.</w:t>
        </w:r>
      </w:hyperlink>
    </w:p>
    <w:p w14:paraId="5D69E224" w14:textId="77777777" w:rsidR="003C7122" w:rsidRDefault="003C7122">
      <w:pPr>
        <w:widowControl w:val="0"/>
        <w:autoSpaceDE w:val="0"/>
        <w:autoSpaceDN w:val="0"/>
        <w:adjustRightInd w:val="0"/>
        <w:rPr>
          <w:color w:val="000000"/>
          <w:sz w:val="24"/>
          <w:szCs w:val="24"/>
        </w:rPr>
      </w:pPr>
    </w:p>
    <w:p w14:paraId="4215602F"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Furthermore, although courts have granted FNC dismissal conditioned on a foreign tribunal's application of U.S. procedural law, defendant has cited no case in which it was conditioned on the application of U.S. substantive law, nor is the Court aware of any such case. </w:t>
      </w:r>
      <w:r>
        <w:rPr>
          <w:i/>
          <w:iCs/>
          <w:color w:val="000000"/>
        </w:rPr>
        <w:t xml:space="preserve">See Tim A. Thomas, Annotation, </w:t>
      </w:r>
      <w:hyperlink r:id="rId170" w:history="1">
        <w:r>
          <w:rPr>
            <w:i/>
            <w:iCs/>
            <w:color w:val="0000FF"/>
            <w:u w:val="single"/>
          </w:rPr>
          <w:t>Validity and Propriety of Conditions Imposed Upon Proceeding in Foreign Forum by Federal Court in Dismissing Action Under Forum Non Conve</w:t>
        </w:r>
        <w:r>
          <w:rPr>
            <w:i/>
            <w:iCs/>
            <w:color w:val="0000FF"/>
            <w:u w:val="single"/>
          </w:rPr>
          <w:t>n</w:t>
        </w:r>
        <w:r>
          <w:rPr>
            <w:i/>
            <w:iCs/>
            <w:color w:val="0000FF"/>
            <w:u w:val="single"/>
          </w:rPr>
          <w:t>iens,</w:t>
        </w:r>
      </w:hyperlink>
      <w:hyperlink r:id="rId171" w:history="1">
        <w:r>
          <w:rPr>
            <w:color w:val="0000FF"/>
            <w:u w:val="single"/>
          </w:rPr>
          <w:t xml:space="preserve"> 89 A.L.R. Fed. </w:t>
        </w:r>
        <w:proofErr w:type="gramStart"/>
        <w:r>
          <w:rPr>
            <w:color w:val="0000FF"/>
            <w:u w:val="single"/>
          </w:rPr>
          <w:t>238 (1988)</w:t>
        </w:r>
      </w:hyperlink>
      <w:r>
        <w:rPr>
          <w:color w:val="000000"/>
        </w:rPr>
        <w:t xml:space="preserve"> (collecting cases in which FNC dismissal has been conditioned on, </w:t>
      </w:r>
      <w:r>
        <w:rPr>
          <w:i/>
          <w:iCs/>
          <w:color w:val="000000"/>
        </w:rPr>
        <w:t>inter alia,</w:t>
      </w:r>
      <w:r>
        <w:rPr>
          <w:color w:val="000000"/>
        </w:rPr>
        <w:t xml:space="preserve"> d</w:t>
      </w:r>
      <w:r>
        <w:rPr>
          <w:color w:val="000000"/>
        </w:rPr>
        <w:t>e</w:t>
      </w:r>
      <w:r>
        <w:rPr>
          <w:color w:val="000000"/>
        </w:rPr>
        <w:t>fendant consenting to the jurisdiction of the foreign court, agreeing to waive any applicable statute of limitations defense in the foreign forum, agreeing to satisfy any judgment that may be entered in the foreign forum, or making witnesses or documents available to the foreign tribunal).</w:t>
      </w:r>
      <w:proofErr w:type="gramEnd"/>
      <w:r>
        <w:rPr>
          <w:color w:val="000000"/>
        </w:rPr>
        <w:t xml:space="preserve"> Imposition of such a condition is particularly problematic in this case because defendant has provided no evidence that an Israeli court would accept such a stipulation and agree to render an award of loss of consortium or non-economic damages.</w:t>
      </w:r>
      <w:hyperlink w:anchor="Document1zzB014142021482735" w:history="1">
        <w:r>
          <w:rPr>
            <w:color w:val="0000FF"/>
            <w:u w:val="single"/>
            <w:vertAlign w:val="superscript"/>
          </w:rPr>
          <w:t>FN14</w:t>
        </w:r>
      </w:hyperlink>
      <w:bookmarkStart w:id="42" w:name="Document1zzF014142021482735"/>
      <w:bookmarkEnd w:id="42"/>
      <w:r>
        <w:rPr>
          <w:color w:val="000000"/>
        </w:rPr>
        <w:t xml:space="preserve"> Such a condition would impose a task upon Israeli courts to determine an issue that is does not confront in its work. While the Israeli judiciary is </w:t>
      </w:r>
      <w:proofErr w:type="gramStart"/>
      <w:r>
        <w:rPr>
          <w:color w:val="000000"/>
        </w:rPr>
        <w:t>well-recognized</w:t>
      </w:r>
      <w:proofErr w:type="gramEnd"/>
      <w:r>
        <w:rPr>
          <w:color w:val="000000"/>
        </w:rPr>
        <w:t xml:space="preserve"> for its quality and integrity, without a showing that it is willing to undertake this task, we should be r</w:t>
      </w:r>
      <w:r>
        <w:rPr>
          <w:color w:val="000000"/>
        </w:rPr>
        <w:t>e</w:t>
      </w:r>
      <w:r>
        <w:rPr>
          <w:color w:val="000000"/>
        </w:rPr>
        <w:t>luctant to ask them to resolve the somewhat amorphous issue of loss of consortium-type damages-a remedy Israeli law does not provide. Counsel for defendant also failed to inform the court whether their client would consent to such a condition.</w:t>
      </w:r>
      <w:hyperlink w:anchor="Document1zzB015152021482735" w:history="1">
        <w:r>
          <w:rPr>
            <w:color w:val="0000FF"/>
            <w:u w:val="single"/>
            <w:vertAlign w:val="superscript"/>
          </w:rPr>
          <w:t>FN15</w:t>
        </w:r>
      </w:hyperlink>
      <w:bookmarkStart w:id="43" w:name="Document1zzF015152021482735"/>
      <w:bookmarkEnd w:id="43"/>
      <w:r>
        <w:rPr>
          <w:color w:val="000000"/>
        </w:rPr>
        <w:t xml:space="preserve"> Finally, as Judge Sifton stated at oral argument on September 21, 2009, plaintiffs' decision to file this suit in New York rather than pursue their claims in the forum where the attacks occurred is entitled to co</w:t>
      </w:r>
      <w:r>
        <w:rPr>
          <w:color w:val="000000"/>
        </w:rPr>
        <w:t>n</w:t>
      </w:r>
      <w:r>
        <w:rPr>
          <w:color w:val="000000"/>
        </w:rPr>
        <w:t xml:space="preserve">siderable weight as a plausible effort to “get out of the field of battle.” </w:t>
      </w:r>
      <w:proofErr w:type="gramStart"/>
      <w:r>
        <w:rPr>
          <w:color w:val="000000"/>
        </w:rPr>
        <w:t>Tr. at 7.</w:t>
      </w:r>
      <w:proofErr w:type="gramEnd"/>
      <w:r>
        <w:rPr>
          <w:color w:val="000000"/>
        </w:rPr>
        <w:t xml:space="preserve"> As such, defendant's motion for r</w:t>
      </w:r>
      <w:r>
        <w:rPr>
          <w:color w:val="000000"/>
        </w:rPr>
        <w:t>e</w:t>
      </w:r>
      <w:r>
        <w:rPr>
          <w:color w:val="000000"/>
        </w:rPr>
        <w:t>consideration is denied.</w:t>
      </w:r>
    </w:p>
    <w:p w14:paraId="4917D480" w14:textId="77777777" w:rsidR="003C7122" w:rsidRDefault="003C7122">
      <w:pPr>
        <w:widowControl w:val="0"/>
        <w:autoSpaceDE w:val="0"/>
        <w:autoSpaceDN w:val="0"/>
        <w:adjustRightInd w:val="0"/>
        <w:rPr>
          <w:color w:val="000000"/>
          <w:sz w:val="24"/>
          <w:szCs w:val="24"/>
        </w:rPr>
      </w:pPr>
    </w:p>
    <w:p w14:paraId="323FFBC8" w14:textId="77777777" w:rsidR="003C7122" w:rsidRDefault="00D24980">
      <w:pPr>
        <w:widowControl w:val="0"/>
        <w:autoSpaceDE w:val="0"/>
        <w:autoSpaceDN w:val="0"/>
        <w:adjustRightInd w:val="0"/>
        <w:ind w:left="720"/>
        <w:jc w:val="both"/>
        <w:rPr>
          <w:color w:val="000000"/>
          <w:sz w:val="24"/>
          <w:szCs w:val="24"/>
        </w:rPr>
      </w:pPr>
      <w:hyperlink w:anchor="Document1zzF014142021482735" w:history="1">
        <w:r w:rsidR="00D75BF9">
          <w:rPr>
            <w:color w:val="0000FF"/>
            <w:u w:val="single"/>
          </w:rPr>
          <w:t>FN14.</w:t>
        </w:r>
      </w:hyperlink>
      <w:bookmarkStart w:id="44" w:name="Document1zzB014142021482735"/>
      <w:bookmarkEnd w:id="44"/>
      <w:r w:rsidR="00D75BF9">
        <w:rPr>
          <w:color w:val="000000"/>
        </w:rPr>
        <w:t xml:space="preserve"> Defendant states that </w:t>
      </w:r>
      <w:proofErr w:type="gramStart"/>
      <w:r w:rsidR="00D75BF9">
        <w:rPr>
          <w:color w:val="000000"/>
        </w:rPr>
        <w:t>such a stipulation would be accepted by an Israeli court</w:t>
      </w:r>
      <w:proofErr w:type="gramEnd"/>
      <w:r w:rsidR="00D75BF9">
        <w:rPr>
          <w:color w:val="000000"/>
        </w:rPr>
        <w:t>, citing the Reply De</w:t>
      </w:r>
      <w:r w:rsidR="00D75BF9">
        <w:rPr>
          <w:color w:val="000000"/>
        </w:rPr>
        <w:t>c</w:t>
      </w:r>
      <w:r w:rsidR="00D75BF9">
        <w:rPr>
          <w:color w:val="000000"/>
        </w:rPr>
        <w:t xml:space="preserve">laration of Profession Daniel More, defendant's expert on Israeli law (“More Decl.”). However, the relevant portions of Professor More's declaration state only that an Israeli court would permit parties to enter into a stipulation agreeing to treble damages, but makes no mention of U.S.-style lost consortium damages. </w:t>
      </w:r>
      <w:r w:rsidR="00D75BF9">
        <w:rPr>
          <w:i/>
          <w:iCs/>
          <w:color w:val="000000"/>
        </w:rPr>
        <w:t>See</w:t>
      </w:r>
      <w:r w:rsidR="00D75BF9">
        <w:rPr>
          <w:color w:val="000000"/>
        </w:rPr>
        <w:t xml:space="preserve"> Def. Rec. Br. at 3 (citing More Decl. ¶¶ 30-32). At oral argument on December 29, 2009, defense counsel raised the possibility that defendant could stipulate to “the facts necessary for an Israeli court to enter an award of emotional or noneconomic injury.” </w:t>
      </w:r>
      <w:proofErr w:type="gramStart"/>
      <w:r w:rsidR="00D75BF9">
        <w:rPr>
          <w:color w:val="000000"/>
        </w:rPr>
        <w:t>Tr. at 5.</w:t>
      </w:r>
      <w:proofErr w:type="gramEnd"/>
      <w:r w:rsidR="00D75BF9">
        <w:rPr>
          <w:color w:val="000000"/>
        </w:rPr>
        <w:t xml:space="preserve"> Among the requirements for recovery of emotional damages is Israel is that the harm manifest as a disability of 20% (or more) resulting from a psychiatric il</w:t>
      </w:r>
      <w:r w:rsidR="00D75BF9">
        <w:rPr>
          <w:color w:val="000000"/>
        </w:rPr>
        <w:t>l</w:t>
      </w:r>
      <w:r w:rsidR="00D75BF9">
        <w:rPr>
          <w:color w:val="000000"/>
        </w:rPr>
        <w:t>ness or emotional disturbance caused by defendant's conduct. Thus, regardless of how the stipulation is phrased, it is not clear how an Israeli court would calculate damages if plaintiffs fail to meet the 20% dis</w:t>
      </w:r>
      <w:r w:rsidR="00D75BF9">
        <w:rPr>
          <w:color w:val="000000"/>
        </w:rPr>
        <w:t>a</w:t>
      </w:r>
      <w:r w:rsidR="00D75BF9">
        <w:rPr>
          <w:color w:val="000000"/>
        </w:rPr>
        <w:t>bility standard in fact.</w:t>
      </w:r>
    </w:p>
    <w:p w14:paraId="5BAAF3DB" w14:textId="77777777" w:rsidR="003C7122" w:rsidRDefault="003C7122">
      <w:pPr>
        <w:widowControl w:val="0"/>
        <w:autoSpaceDE w:val="0"/>
        <w:autoSpaceDN w:val="0"/>
        <w:adjustRightInd w:val="0"/>
        <w:rPr>
          <w:color w:val="000000"/>
          <w:sz w:val="24"/>
          <w:szCs w:val="24"/>
        </w:rPr>
      </w:pPr>
    </w:p>
    <w:p w14:paraId="485A0E58" w14:textId="77777777" w:rsidR="003C7122" w:rsidRDefault="00D24980">
      <w:pPr>
        <w:widowControl w:val="0"/>
        <w:autoSpaceDE w:val="0"/>
        <w:autoSpaceDN w:val="0"/>
        <w:adjustRightInd w:val="0"/>
        <w:ind w:left="720"/>
        <w:jc w:val="both"/>
        <w:rPr>
          <w:color w:val="000000"/>
          <w:sz w:val="24"/>
          <w:szCs w:val="24"/>
        </w:rPr>
      </w:pPr>
      <w:hyperlink w:anchor="Document1zzF015152021482735" w:history="1">
        <w:r w:rsidR="00D75BF9">
          <w:rPr>
            <w:color w:val="0000FF"/>
            <w:u w:val="single"/>
          </w:rPr>
          <w:t>FN15.</w:t>
        </w:r>
      </w:hyperlink>
      <w:bookmarkStart w:id="45" w:name="Document1zzB015152021482735"/>
      <w:bookmarkEnd w:id="45"/>
      <w:r w:rsidR="00D75BF9">
        <w:rPr>
          <w:color w:val="000000"/>
        </w:rPr>
        <w:t xml:space="preserve"> Confirming the ambiguity of defense counsel's statements at oral argument, defendant states in their instant papers that “[</w:t>
      </w:r>
      <w:proofErr w:type="gramStart"/>
      <w:r w:rsidR="00D75BF9">
        <w:rPr>
          <w:color w:val="000000"/>
        </w:rPr>
        <w:t>f]or</w:t>
      </w:r>
      <w:proofErr w:type="gramEnd"/>
      <w:r w:rsidR="00D75BF9">
        <w:rPr>
          <w:color w:val="000000"/>
        </w:rPr>
        <w:t xml:space="preserve"> avoidance of doubt, UBS would agree to such a stipulation.” This unsworn asse</w:t>
      </w:r>
      <w:r w:rsidR="00D75BF9">
        <w:rPr>
          <w:color w:val="000000"/>
        </w:rPr>
        <w:t>r</w:t>
      </w:r>
      <w:r w:rsidR="00D75BF9">
        <w:rPr>
          <w:color w:val="000000"/>
        </w:rPr>
        <w:t xml:space="preserve">tion, made for the first time on reconsideration, is not considered here. </w:t>
      </w:r>
      <w:r w:rsidR="00D75BF9">
        <w:rPr>
          <w:i/>
          <w:iCs/>
          <w:color w:val="000000"/>
        </w:rPr>
        <w:t xml:space="preserve">See </w:t>
      </w:r>
      <w:hyperlink r:id="rId172" w:history="1">
        <w:r w:rsidR="00D75BF9">
          <w:rPr>
            <w:i/>
            <w:iCs/>
            <w:color w:val="0000FF"/>
            <w:u w:val="single"/>
          </w:rPr>
          <w:t>Litton Indus.,</w:t>
        </w:r>
      </w:hyperlink>
      <w:hyperlink r:id="rId173" w:history="1">
        <w:r w:rsidR="00D75BF9">
          <w:rPr>
            <w:color w:val="0000FF"/>
            <w:u w:val="single"/>
          </w:rPr>
          <w:t xml:space="preserve"> 1989 WL 162315, at *3</w:t>
        </w:r>
      </w:hyperlink>
      <w:r w:rsidR="00D75BF9">
        <w:rPr>
          <w:color w:val="000000"/>
        </w:rPr>
        <w:t xml:space="preserve"> (holding that a party in its motion for reconsideration “may not advance new facts, issues or arg</w:t>
      </w:r>
      <w:r w:rsidR="00D75BF9">
        <w:rPr>
          <w:color w:val="000000"/>
        </w:rPr>
        <w:t>u</w:t>
      </w:r>
      <w:r w:rsidR="00D75BF9">
        <w:rPr>
          <w:color w:val="000000"/>
        </w:rPr>
        <w:t>ments not previously presented to the court”).</w:t>
      </w:r>
    </w:p>
    <w:p w14:paraId="41E5347D" w14:textId="77777777" w:rsidR="003C7122" w:rsidRDefault="003C7122">
      <w:pPr>
        <w:widowControl w:val="0"/>
        <w:autoSpaceDE w:val="0"/>
        <w:autoSpaceDN w:val="0"/>
        <w:adjustRightInd w:val="0"/>
        <w:rPr>
          <w:color w:val="000000"/>
          <w:sz w:val="24"/>
          <w:szCs w:val="24"/>
        </w:rPr>
      </w:pPr>
    </w:p>
    <w:p w14:paraId="111B762E" w14:textId="77777777" w:rsidR="003C7122" w:rsidRDefault="00D75BF9">
      <w:pPr>
        <w:widowControl w:val="0"/>
        <w:autoSpaceDE w:val="0"/>
        <w:autoSpaceDN w:val="0"/>
        <w:adjustRightInd w:val="0"/>
        <w:jc w:val="center"/>
        <w:rPr>
          <w:color w:val="000000"/>
          <w:sz w:val="24"/>
          <w:szCs w:val="24"/>
        </w:rPr>
      </w:pPr>
      <w:r>
        <w:rPr>
          <w:b/>
          <w:bCs/>
          <w:color w:val="000000"/>
        </w:rPr>
        <w:t>(2)</w:t>
      </w:r>
    </w:p>
    <w:p w14:paraId="65918339" w14:textId="77777777" w:rsidR="003C7122" w:rsidRDefault="00D75BF9">
      <w:pPr>
        <w:widowControl w:val="0"/>
        <w:autoSpaceDE w:val="0"/>
        <w:autoSpaceDN w:val="0"/>
        <w:adjustRightInd w:val="0"/>
        <w:jc w:val="center"/>
        <w:rPr>
          <w:color w:val="000000"/>
          <w:sz w:val="24"/>
          <w:szCs w:val="24"/>
        </w:rPr>
      </w:pPr>
      <w:r>
        <w:rPr>
          <w:b/>
          <w:bCs/>
          <w:color w:val="000000"/>
        </w:rPr>
        <w:t>Motion to Certify the Court's September 24, 2009 Order for Interlocutory Appeal</w:t>
      </w:r>
    </w:p>
    <w:p w14:paraId="1A640A9C"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seeks to have this court certify the following three issues </w:t>
      </w:r>
      <w:hyperlink w:anchor="Document1zzB016162021482735" w:history="1">
        <w:r>
          <w:rPr>
            <w:color w:val="0000FF"/>
            <w:u w:val="single"/>
            <w:vertAlign w:val="superscript"/>
          </w:rPr>
          <w:t>FN16</w:t>
        </w:r>
      </w:hyperlink>
      <w:bookmarkStart w:id="46" w:name="Document1zzF016162021482735"/>
      <w:bookmarkEnd w:id="46"/>
      <w:r>
        <w:rPr>
          <w:color w:val="000000"/>
        </w:rPr>
        <w:t xml:space="preserve"> for interlocutory appeal pursuant to </w:t>
      </w:r>
      <w:hyperlink r:id="rId174" w:history="1">
        <w:r>
          <w:rPr>
            <w:color w:val="0000FF"/>
            <w:u w:val="single"/>
          </w:rPr>
          <w:t>28 U.S.C. § 1292(b)</w:t>
        </w:r>
      </w:hyperlink>
      <w:r>
        <w:rPr>
          <w:color w:val="000000"/>
        </w:rPr>
        <w:t>:</w:t>
      </w:r>
    </w:p>
    <w:p w14:paraId="0AF7C18A" w14:textId="77777777" w:rsidR="003C7122" w:rsidRDefault="003C7122">
      <w:pPr>
        <w:widowControl w:val="0"/>
        <w:autoSpaceDE w:val="0"/>
        <w:autoSpaceDN w:val="0"/>
        <w:adjustRightInd w:val="0"/>
        <w:rPr>
          <w:color w:val="000000"/>
          <w:sz w:val="24"/>
          <w:szCs w:val="24"/>
        </w:rPr>
      </w:pPr>
    </w:p>
    <w:p w14:paraId="5DC88DD1" w14:textId="77777777" w:rsidR="003C7122" w:rsidRDefault="00D24980">
      <w:pPr>
        <w:widowControl w:val="0"/>
        <w:autoSpaceDE w:val="0"/>
        <w:autoSpaceDN w:val="0"/>
        <w:adjustRightInd w:val="0"/>
        <w:ind w:left="720"/>
        <w:jc w:val="both"/>
        <w:rPr>
          <w:color w:val="000000"/>
          <w:sz w:val="24"/>
          <w:szCs w:val="24"/>
        </w:rPr>
      </w:pPr>
      <w:hyperlink w:anchor="Document1zzF016162021482735" w:history="1">
        <w:r w:rsidR="00D75BF9">
          <w:rPr>
            <w:color w:val="0000FF"/>
            <w:u w:val="single"/>
          </w:rPr>
          <w:t>FN16.</w:t>
        </w:r>
      </w:hyperlink>
      <w:bookmarkStart w:id="47" w:name="Document1zzB016162021482735"/>
      <w:bookmarkEnd w:id="47"/>
      <w:r w:rsidR="00D75BF9">
        <w:rPr>
          <w:color w:val="000000"/>
        </w:rPr>
        <w:t xml:space="preserve"> Notwithstanding defendant's request to certify three “issues,” a district court certifies orders, not i</w:t>
      </w:r>
      <w:r w:rsidR="00D75BF9">
        <w:rPr>
          <w:color w:val="000000"/>
        </w:rPr>
        <w:t>n</w:t>
      </w:r>
      <w:r w:rsidR="00D75BF9">
        <w:rPr>
          <w:color w:val="000000"/>
        </w:rPr>
        <w:t xml:space="preserve">dividual questions. </w:t>
      </w:r>
      <w:r w:rsidR="00D75BF9">
        <w:rPr>
          <w:i/>
          <w:iCs/>
          <w:color w:val="000000"/>
        </w:rPr>
        <w:t xml:space="preserve">See </w:t>
      </w:r>
      <w:hyperlink r:id="rId175" w:history="1">
        <w:r w:rsidR="00D75BF9">
          <w:rPr>
            <w:i/>
            <w:iCs/>
            <w:color w:val="0000FF"/>
            <w:u w:val="single"/>
          </w:rPr>
          <w:t>City of New York v. Beretta U.S.A. Corp.,</w:t>
        </w:r>
      </w:hyperlink>
      <w:hyperlink r:id="rId176" w:history="1">
        <w:r w:rsidR="00D75BF9">
          <w:rPr>
            <w:color w:val="0000FF"/>
            <w:u w:val="single"/>
          </w:rPr>
          <w:t xml:space="preserve"> 524 F.3d 384, 391-92 (2d Cir.2008)</w:t>
        </w:r>
      </w:hyperlink>
      <w:r w:rsidR="00D75BF9">
        <w:rPr>
          <w:color w:val="000000"/>
        </w:rPr>
        <w:t xml:space="preserve"> </w:t>
      </w:r>
      <w:proofErr w:type="gramStart"/>
      <w:r w:rsidR="00D75BF9">
        <w:rPr>
          <w:color w:val="000000"/>
        </w:rPr>
        <w:t>( “</w:t>
      </w:r>
      <w:proofErr w:type="gramEnd"/>
      <w:r w:rsidR="00D75BF9">
        <w:rPr>
          <w:color w:val="000000"/>
        </w:rPr>
        <w:t xml:space="preserve">When a district court certifies, pursuant to </w:t>
      </w:r>
      <w:hyperlink r:id="rId177" w:history="1">
        <w:r w:rsidR="00D75BF9">
          <w:rPr>
            <w:color w:val="0000FF"/>
            <w:u w:val="single"/>
          </w:rPr>
          <w:t>28 U.S.C. § 1292(b)</w:t>
        </w:r>
      </w:hyperlink>
      <w:r w:rsidR="00D75BF9">
        <w:rPr>
          <w:color w:val="000000"/>
        </w:rPr>
        <w:t>, a question of controlling law, the entire order is certified and [the appellate court] may assume jurisdiction over the entire order, not merely over the question as framed by the district court.” (</w:t>
      </w:r>
      <w:proofErr w:type="gramStart"/>
      <w:r w:rsidR="00D75BF9">
        <w:rPr>
          <w:color w:val="000000"/>
        </w:rPr>
        <w:t>citing</w:t>
      </w:r>
      <w:proofErr w:type="gramEnd"/>
      <w:r w:rsidR="00D75BF9">
        <w:rPr>
          <w:color w:val="000000"/>
        </w:rPr>
        <w:t xml:space="preserve"> </w:t>
      </w:r>
      <w:hyperlink r:id="rId178" w:history="1">
        <w:r w:rsidR="00D75BF9">
          <w:rPr>
            <w:i/>
            <w:iCs/>
            <w:color w:val="0000FF"/>
            <w:u w:val="single"/>
          </w:rPr>
          <w:t>U.S. v. Stanley,</w:t>
        </w:r>
      </w:hyperlink>
      <w:hyperlink r:id="rId179" w:history="1">
        <w:r w:rsidR="00D75BF9">
          <w:rPr>
            <w:color w:val="0000FF"/>
            <w:u w:val="single"/>
          </w:rPr>
          <w:t xml:space="preserve"> 483 U.S. 669, 676-77, 107 S.Ct. 3054, 97 L.Ed.2d 550 (1987)</w:t>
        </w:r>
      </w:hyperlink>
      <w:r w:rsidR="00D75BF9">
        <w:rPr>
          <w:color w:val="000000"/>
        </w:rPr>
        <w:t xml:space="preserve"> (explaining that </w:t>
      </w:r>
      <w:hyperlink r:id="rId180" w:history="1">
        <w:r w:rsidR="00D75BF9">
          <w:rPr>
            <w:color w:val="0000FF"/>
            <w:u w:val="single"/>
          </w:rPr>
          <w:t>28 U.S.C. § 1292(b)</w:t>
        </w:r>
      </w:hyperlink>
      <w:r w:rsidR="00D75BF9">
        <w:rPr>
          <w:color w:val="000000"/>
        </w:rPr>
        <w:t xml:space="preserve"> “brings the ‘order,’ not the question, before the [appellate] court.”))). However, because none of the individual issues warrant certification of the Septe</w:t>
      </w:r>
      <w:r w:rsidR="00D75BF9">
        <w:rPr>
          <w:color w:val="000000"/>
        </w:rPr>
        <w:t>m</w:t>
      </w:r>
      <w:r w:rsidR="00D75BF9">
        <w:rPr>
          <w:color w:val="000000"/>
        </w:rPr>
        <w:t>ber 24th Order, the distinction is not significant here.</w:t>
      </w:r>
    </w:p>
    <w:p w14:paraId="71F57E16" w14:textId="77777777" w:rsidR="003C7122" w:rsidRDefault="003C7122">
      <w:pPr>
        <w:widowControl w:val="0"/>
        <w:autoSpaceDE w:val="0"/>
        <w:autoSpaceDN w:val="0"/>
        <w:adjustRightInd w:val="0"/>
        <w:rPr>
          <w:color w:val="000000"/>
          <w:sz w:val="24"/>
          <w:szCs w:val="24"/>
        </w:rPr>
      </w:pPr>
    </w:p>
    <w:p w14:paraId="71F31929" w14:textId="77777777" w:rsidR="003C7122" w:rsidRDefault="00D75BF9">
      <w:pPr>
        <w:widowControl w:val="0"/>
        <w:autoSpaceDE w:val="0"/>
        <w:autoSpaceDN w:val="0"/>
        <w:adjustRightInd w:val="0"/>
        <w:ind w:left="180"/>
        <w:jc w:val="both"/>
        <w:rPr>
          <w:color w:val="000000"/>
          <w:sz w:val="24"/>
          <w:szCs w:val="24"/>
        </w:rPr>
      </w:pPr>
      <w:r>
        <w:rPr>
          <w:color w:val="000000"/>
        </w:rPr>
        <w:t xml:space="preserve">1. Whether ATA </w:t>
      </w:r>
      <w:hyperlink r:id="rId181" w:history="1">
        <w:r>
          <w:rPr>
            <w:color w:val="0000FF"/>
            <w:u w:val="single"/>
          </w:rPr>
          <w:t>Section 2334(d)(3)</w:t>
        </w:r>
      </w:hyperlink>
      <w:r>
        <w:rPr>
          <w:color w:val="000000"/>
        </w:rPr>
        <w:t>'s FNC requirement that a foreign court must “offer</w:t>
      </w:r>
      <w:proofErr w:type="gramStart"/>
      <w:r>
        <w:rPr>
          <w:color w:val="000000"/>
        </w:rPr>
        <w:t>[ ]</w:t>
      </w:r>
      <w:proofErr w:type="gramEnd"/>
      <w:r>
        <w:rPr>
          <w:color w:val="000000"/>
        </w:rPr>
        <w:t xml:space="preserve"> a remedy which is su</w:t>
      </w:r>
      <w:r>
        <w:rPr>
          <w:color w:val="000000"/>
        </w:rPr>
        <w:t>b</w:t>
      </w:r>
      <w:r>
        <w:rPr>
          <w:color w:val="000000"/>
        </w:rPr>
        <w:t xml:space="preserve">stantially the same as the one available in the courts of the United States” means that the foreign court must offer a remedy “essentially the same in both type and magnitude as that afforded in this jurisdiction”? </w:t>
      </w:r>
      <w:proofErr w:type="gramStart"/>
      <w:r>
        <w:rPr>
          <w:color w:val="000000"/>
        </w:rPr>
        <w:t>(Order at 21).</w:t>
      </w:r>
      <w:proofErr w:type="gramEnd"/>
    </w:p>
    <w:p w14:paraId="16192DD0" w14:textId="77777777" w:rsidR="003C7122" w:rsidRDefault="003C7122">
      <w:pPr>
        <w:widowControl w:val="0"/>
        <w:autoSpaceDE w:val="0"/>
        <w:autoSpaceDN w:val="0"/>
        <w:adjustRightInd w:val="0"/>
        <w:rPr>
          <w:color w:val="000000"/>
          <w:sz w:val="24"/>
          <w:szCs w:val="24"/>
        </w:rPr>
      </w:pPr>
    </w:p>
    <w:p w14:paraId="5EFF3809" w14:textId="77777777" w:rsidR="003C7122" w:rsidRDefault="00D75BF9">
      <w:pPr>
        <w:widowControl w:val="0"/>
        <w:autoSpaceDE w:val="0"/>
        <w:autoSpaceDN w:val="0"/>
        <w:adjustRightInd w:val="0"/>
        <w:ind w:left="180"/>
        <w:jc w:val="both"/>
        <w:rPr>
          <w:color w:val="000000"/>
          <w:sz w:val="24"/>
          <w:szCs w:val="24"/>
        </w:rPr>
      </w:pPr>
      <w:r>
        <w:rPr>
          <w:color w:val="000000"/>
        </w:rPr>
        <w:t xml:space="preserve">2. Whether it is constitutional to apply the ATA to UBS's alleged </w:t>
      </w:r>
      <w:proofErr w:type="gramStart"/>
      <w:r>
        <w:rPr>
          <w:color w:val="000000"/>
        </w:rPr>
        <w:t>off-shore</w:t>
      </w:r>
      <w:proofErr w:type="gramEnd"/>
      <w:r>
        <w:rPr>
          <w:color w:val="000000"/>
        </w:rPr>
        <w:t xml:space="preserve"> conduct based solely on UBS's unr</w:t>
      </w:r>
      <w:r>
        <w:rPr>
          <w:color w:val="000000"/>
        </w:rPr>
        <w:t>e</w:t>
      </w:r>
      <w:r>
        <w:rPr>
          <w:color w:val="000000"/>
        </w:rPr>
        <w:t xml:space="preserve">lated United States activities and in the absence of any identified nexus between the off-shore conduct and the United States? </w:t>
      </w:r>
      <w:proofErr w:type="gramStart"/>
      <w:r>
        <w:rPr>
          <w:color w:val="000000"/>
        </w:rPr>
        <w:t>(Order at 44-45).</w:t>
      </w:r>
      <w:proofErr w:type="gramEnd"/>
    </w:p>
    <w:p w14:paraId="0015A94F" w14:textId="77777777" w:rsidR="003C7122" w:rsidRDefault="003C7122">
      <w:pPr>
        <w:widowControl w:val="0"/>
        <w:autoSpaceDE w:val="0"/>
        <w:autoSpaceDN w:val="0"/>
        <w:adjustRightInd w:val="0"/>
        <w:rPr>
          <w:color w:val="000000"/>
          <w:sz w:val="24"/>
          <w:szCs w:val="24"/>
        </w:rPr>
      </w:pPr>
    </w:p>
    <w:p w14:paraId="5A0CEEB9" w14:textId="77777777" w:rsidR="003C7122" w:rsidRDefault="00D75BF9">
      <w:pPr>
        <w:widowControl w:val="0"/>
        <w:autoSpaceDE w:val="0"/>
        <w:autoSpaceDN w:val="0"/>
        <w:adjustRightInd w:val="0"/>
        <w:ind w:left="180"/>
        <w:jc w:val="both"/>
        <w:rPr>
          <w:color w:val="000000"/>
          <w:sz w:val="24"/>
          <w:szCs w:val="24"/>
        </w:rPr>
      </w:pPr>
      <w:r>
        <w:rPr>
          <w:color w:val="000000"/>
        </w:rPr>
        <w:t>3. Whether the “appears to be intended” prong of the ATA's “international terrorism” definition (</w:t>
      </w:r>
      <w:hyperlink r:id="rId182" w:history="1">
        <w:r>
          <w:rPr>
            <w:color w:val="0000FF"/>
            <w:u w:val="single"/>
          </w:rPr>
          <w:t>Section 2331(1)(B)</w:t>
        </w:r>
      </w:hyperlink>
      <w:r>
        <w:rPr>
          <w:color w:val="000000"/>
        </w:rPr>
        <w:t xml:space="preserve">), is necessarily satisfied by a violation of </w:t>
      </w:r>
      <w:hyperlink r:id="rId183" w:history="1">
        <w:r>
          <w:rPr>
            <w:color w:val="0000FF"/>
            <w:u w:val="single"/>
          </w:rPr>
          <w:t>Section 2339B</w:t>
        </w:r>
      </w:hyperlink>
      <w:r>
        <w:rPr>
          <w:color w:val="000000"/>
        </w:rPr>
        <w:t xml:space="preserve"> or </w:t>
      </w:r>
      <w:hyperlink r:id="rId184" w:history="1">
        <w:r>
          <w:rPr>
            <w:color w:val="0000FF"/>
            <w:u w:val="single"/>
          </w:rPr>
          <w:t>2339C</w:t>
        </w:r>
      </w:hyperlink>
      <w:r>
        <w:rPr>
          <w:color w:val="000000"/>
        </w:rPr>
        <w:t xml:space="preserve">? </w:t>
      </w:r>
      <w:proofErr w:type="gramStart"/>
      <w:r>
        <w:rPr>
          <w:color w:val="000000"/>
        </w:rPr>
        <w:t>(Order at 33).</w:t>
      </w:r>
      <w:proofErr w:type="gramEnd"/>
    </w:p>
    <w:p w14:paraId="3D2F23CC" w14:textId="77777777" w:rsidR="003C7122" w:rsidRDefault="003C7122">
      <w:pPr>
        <w:widowControl w:val="0"/>
        <w:autoSpaceDE w:val="0"/>
        <w:autoSpaceDN w:val="0"/>
        <w:adjustRightInd w:val="0"/>
        <w:rPr>
          <w:color w:val="000000"/>
          <w:sz w:val="24"/>
          <w:szCs w:val="24"/>
        </w:rPr>
      </w:pPr>
    </w:p>
    <w:p w14:paraId="547D227F" w14:textId="77777777" w:rsidR="003C7122" w:rsidRDefault="00D75BF9">
      <w:pPr>
        <w:widowControl w:val="0"/>
        <w:autoSpaceDE w:val="0"/>
        <w:autoSpaceDN w:val="0"/>
        <w:adjustRightInd w:val="0"/>
        <w:jc w:val="both"/>
        <w:rPr>
          <w:color w:val="000000"/>
          <w:sz w:val="24"/>
          <w:szCs w:val="24"/>
        </w:rPr>
      </w:pPr>
      <w:r>
        <w:rPr>
          <w:b/>
          <w:bCs/>
          <w:color w:val="000000"/>
        </w:rPr>
        <w:t>a. Standard for Certification of an Order for Interlocutory Appeal</w:t>
      </w:r>
    </w:p>
    <w:p w14:paraId="5FA156B9" w14:textId="77777777" w:rsidR="003C7122" w:rsidRDefault="00D24980">
      <w:pPr>
        <w:widowControl w:val="0"/>
        <w:autoSpaceDE w:val="0"/>
        <w:autoSpaceDN w:val="0"/>
        <w:adjustRightInd w:val="0"/>
        <w:ind w:firstLine="360"/>
        <w:jc w:val="both"/>
        <w:rPr>
          <w:color w:val="000000"/>
          <w:sz w:val="24"/>
          <w:szCs w:val="24"/>
        </w:rPr>
      </w:pPr>
      <w:hyperlink w:anchor="Document1zzF22021482735" w:history="1">
        <w:r w:rsidR="00D75BF9">
          <w:rPr>
            <w:color w:val="0000FF"/>
            <w:u w:val="single"/>
          </w:rPr>
          <w:t>[2]</w:t>
        </w:r>
      </w:hyperlink>
      <w:bookmarkStart w:id="48" w:name="Document1zzB22021482735"/>
      <w:bookmarkEnd w:id="48"/>
      <w:r w:rsidR="00D75BF9">
        <w:rPr>
          <w:color w:val="000000"/>
        </w:rPr>
        <w:t xml:space="preserve"> A district court has the discretion to certify an order for interlocutory appeal pursuant to </w:t>
      </w:r>
      <w:hyperlink r:id="rId185" w:history="1">
        <w:r w:rsidR="00D75BF9">
          <w:rPr>
            <w:color w:val="0000FF"/>
            <w:u w:val="single"/>
          </w:rPr>
          <w:t>28 U.S.C. § 1292(b)</w:t>
        </w:r>
      </w:hyperlink>
      <w:r w:rsidR="00D75BF9">
        <w:rPr>
          <w:color w:val="000000"/>
        </w:rPr>
        <w:t xml:space="preserve"> if the court “is of the opinion that: (1) the order ‘involves a controlling question of law’; (2) ‘as to which there is substantial ground for difference of opinion’; and (3) ‘an immediate appeal of the order may materially advance the ultimate termination of the litigation.’ ” </w:t>
      </w:r>
      <w:hyperlink r:id="rId186" w:history="1">
        <w:r w:rsidR="00D75BF9">
          <w:rPr>
            <w:i/>
            <w:iCs/>
            <w:color w:val="0000FF"/>
            <w:u w:val="single"/>
          </w:rPr>
          <w:t>Martens v. Smith Barney, Inc.,</w:t>
        </w:r>
      </w:hyperlink>
      <w:hyperlink r:id="rId187" w:history="1">
        <w:r w:rsidR="00D75BF9">
          <w:rPr>
            <w:color w:val="0000FF"/>
            <w:u w:val="single"/>
          </w:rPr>
          <w:t xml:space="preserve"> 238 F.Supp.2d 596, 599 (S.D.N.Y.2002)</w:t>
        </w:r>
      </w:hyperlink>
      <w:r w:rsidR="00D75BF9">
        <w:rPr>
          <w:color w:val="000000"/>
        </w:rPr>
        <w:t xml:space="preserve"> (quoting </w:t>
      </w:r>
      <w:hyperlink r:id="rId188" w:history="1">
        <w:r w:rsidR="00D75BF9">
          <w:rPr>
            <w:color w:val="0000FF"/>
            <w:u w:val="single"/>
          </w:rPr>
          <w:t>28 U.S.C. § 1292(b)</w:t>
        </w:r>
      </w:hyperlink>
      <w:r w:rsidR="00D75BF9">
        <w:rPr>
          <w:color w:val="000000"/>
        </w:rPr>
        <w:t xml:space="preserve">). Because an interlocutory appeal may “prolong judicial proceedings, add delay and expense to litigants, burden appellate courts, and present issues for decisions on uncertain and incomplete records, tending to weaken the precedential value of judicial opinions,” </w:t>
      </w:r>
      <w:hyperlink r:id="rId189" w:history="1">
        <w:r w:rsidR="00D75BF9">
          <w:rPr>
            <w:i/>
            <w:iCs/>
            <w:color w:val="0000FF"/>
            <w:u w:val="single"/>
          </w:rPr>
          <w:t>In re World Trade Cent. Disaster Site Litig</w:t>
        </w:r>
        <w:proofErr w:type="gramStart"/>
        <w:r w:rsidR="00D75BF9">
          <w:rPr>
            <w:i/>
            <w:iCs/>
            <w:color w:val="0000FF"/>
            <w:u w:val="single"/>
          </w:rPr>
          <w:t>.,</w:t>
        </w:r>
        <w:proofErr w:type="gramEnd"/>
      </w:hyperlink>
      <w:hyperlink r:id="rId190" w:history="1">
        <w:r w:rsidR="00D75BF9">
          <w:rPr>
            <w:color w:val="0000FF"/>
            <w:u w:val="single"/>
          </w:rPr>
          <w:t xml:space="preserve"> 469 F.Supp.2d 134, 144 (S.D.N.Y.2007)</w:t>
        </w:r>
      </w:hyperlink>
      <w:r w:rsidR="00D75BF9">
        <w:rPr>
          <w:color w:val="000000"/>
        </w:rPr>
        <w:t>, “only ‘exceptional circumstances [will] justify a departure from the basic pol</w:t>
      </w:r>
      <w:r w:rsidR="00D75BF9">
        <w:rPr>
          <w:color w:val="000000"/>
        </w:rPr>
        <w:t>i</w:t>
      </w:r>
      <w:r w:rsidR="00D75BF9">
        <w:rPr>
          <w:color w:val="000000"/>
        </w:rPr>
        <w:t xml:space="preserve">cy of postponing appellate review until after the entry of a final judgment.’ ” </w:t>
      </w:r>
      <w:hyperlink r:id="rId191" w:history="1">
        <w:r w:rsidR="00D75BF9">
          <w:rPr>
            <w:i/>
            <w:iCs/>
            <w:color w:val="0000FF"/>
            <w:u w:val="single"/>
          </w:rPr>
          <w:t>Aspen Ford, Inc. v. Ford Motor Co.,</w:t>
        </w:r>
      </w:hyperlink>
      <w:hyperlink r:id="rId192" w:history="1">
        <w:r w:rsidR="00D75BF9">
          <w:rPr>
            <w:color w:val="0000FF"/>
            <w:u w:val="single"/>
          </w:rPr>
          <w:t xml:space="preserve"> Nos. CV-01-4677 (CPS), CV-99-5978 (CPS), 2008 WL 163695 (E.D.N.Y. Jan. 15, 2008)</w:t>
        </w:r>
      </w:hyperlink>
      <w:r w:rsidR="00D75BF9">
        <w:rPr>
          <w:color w:val="000000"/>
        </w:rPr>
        <w:t xml:space="preserve"> (alteration in original) (citing </w:t>
      </w:r>
      <w:hyperlink r:id="rId193" w:history="1">
        <w:r w:rsidR="00D75BF9">
          <w:rPr>
            <w:i/>
            <w:iCs/>
            <w:color w:val="0000FF"/>
            <w:u w:val="single"/>
          </w:rPr>
          <w:t>Klinghoffer v. S.N.C. Achille Lauro,</w:t>
        </w:r>
      </w:hyperlink>
      <w:hyperlink r:id="rId194" w:history="1">
        <w:r w:rsidR="00D75BF9">
          <w:rPr>
            <w:color w:val="0000FF"/>
            <w:u w:val="single"/>
          </w:rPr>
          <w:t xml:space="preserve"> 921 F.2d 21, 25 (2d Cir.1990)</w:t>
        </w:r>
      </w:hyperlink>
      <w:r w:rsidR="00D75BF9">
        <w:rPr>
          <w:color w:val="000000"/>
        </w:rPr>
        <w:t xml:space="preserve">); </w:t>
      </w:r>
      <w:r w:rsidR="00D75BF9">
        <w:rPr>
          <w:i/>
          <w:iCs/>
          <w:color w:val="000000"/>
        </w:rPr>
        <w:t xml:space="preserve">see also </w:t>
      </w:r>
      <w:hyperlink r:id="rId195" w:history="1">
        <w:r w:rsidR="00D75BF9">
          <w:rPr>
            <w:i/>
            <w:iCs/>
            <w:color w:val="0000FF"/>
            <w:u w:val="single"/>
          </w:rPr>
          <w:t>Capitol Records, Inc. v. MP3Tunes, LLC,</w:t>
        </w:r>
      </w:hyperlink>
      <w:hyperlink r:id="rId196" w:history="1">
        <w:r w:rsidR="00D75BF9">
          <w:rPr>
            <w:color w:val="0000FF"/>
            <w:u w:val="single"/>
          </w:rPr>
          <w:t xml:space="preserve"> No. 07 Civ. 9931(WHP), 2009 WL 5102794, at *2 (S.D.N.Y. Dec. 14, 2009)</w:t>
        </w:r>
      </w:hyperlink>
      <w:r w:rsidR="00D75BF9">
        <w:rPr>
          <w:color w:val="000000"/>
        </w:rPr>
        <w:t xml:space="preserve"> (“Appeal is limited to those instances where the movant demonstrates the existence of exceptional circumstances sufficient to overcome the general aversion to piecemeal litigation.”) (</w:t>
      </w:r>
      <w:proofErr w:type="gramStart"/>
      <w:r w:rsidR="00D75BF9">
        <w:rPr>
          <w:color w:val="000000"/>
        </w:rPr>
        <w:t>citation</w:t>
      </w:r>
      <w:proofErr w:type="gramEnd"/>
      <w:r w:rsidR="00D75BF9">
        <w:rPr>
          <w:color w:val="000000"/>
        </w:rPr>
        <w:t xml:space="preserve"> and quotation marks omitted). “[</w:t>
      </w:r>
      <w:proofErr w:type="gramStart"/>
      <w:r w:rsidR="00D75BF9">
        <w:rPr>
          <w:color w:val="000000"/>
        </w:rPr>
        <w:t>D]istrict</w:t>
      </w:r>
      <w:proofErr w:type="gramEnd"/>
      <w:r w:rsidR="00D75BF9">
        <w:rPr>
          <w:color w:val="000000"/>
        </w:rPr>
        <w:t xml:space="preserve"> court judges have broad discretion to deny certification even where the statutory criteria are met.” </w:t>
      </w:r>
      <w:hyperlink r:id="rId197" w:history="1">
        <w:r w:rsidR="00D75BF9">
          <w:rPr>
            <w:i/>
            <w:iCs/>
            <w:color w:val="0000FF"/>
            <w:u w:val="single"/>
          </w:rPr>
          <w:t>Morris v. Flaig,</w:t>
        </w:r>
      </w:hyperlink>
      <w:hyperlink r:id="rId198" w:history="1">
        <w:r w:rsidR="00D75BF9">
          <w:rPr>
            <w:color w:val="0000FF"/>
            <w:u w:val="single"/>
          </w:rPr>
          <w:t xml:space="preserve"> 511 F.Supp.2d 282, 314 (E.D.N.Y.2007)</w:t>
        </w:r>
      </w:hyperlink>
      <w:r w:rsidR="00D75BF9">
        <w:rPr>
          <w:color w:val="000000"/>
        </w:rPr>
        <w:t xml:space="preserve"> (quoting </w:t>
      </w:r>
      <w:hyperlink r:id="rId199" w:history="1">
        <w:r w:rsidR="00D75BF9">
          <w:rPr>
            <w:i/>
            <w:iCs/>
            <w:color w:val="0000FF"/>
            <w:u w:val="single"/>
          </w:rPr>
          <w:t>SPL Shipping Ltd. v. Gujarat Cheminex Ltd.,</w:t>
        </w:r>
      </w:hyperlink>
      <w:hyperlink r:id="rId200" w:history="1">
        <w:r w:rsidR="00D75BF9">
          <w:rPr>
            <w:color w:val="0000FF"/>
            <w:u w:val="single"/>
          </w:rPr>
          <w:t xml:space="preserve"> No. 06-CV-15375 (KMK), 2007 WL 1119753, at *1 (S.D.N.Y. Apr. 12, 2007)</w:t>
        </w:r>
      </w:hyperlink>
      <w:r w:rsidR="00D75BF9">
        <w:rPr>
          <w:color w:val="000000"/>
        </w:rPr>
        <w:t>).</w:t>
      </w:r>
    </w:p>
    <w:p w14:paraId="4B88E953" w14:textId="77777777" w:rsidR="003C7122" w:rsidRDefault="003C7122">
      <w:pPr>
        <w:widowControl w:val="0"/>
        <w:autoSpaceDE w:val="0"/>
        <w:autoSpaceDN w:val="0"/>
        <w:adjustRightInd w:val="0"/>
        <w:rPr>
          <w:color w:val="000000"/>
          <w:sz w:val="24"/>
          <w:szCs w:val="24"/>
        </w:rPr>
      </w:pPr>
    </w:p>
    <w:p w14:paraId="5E6BE121" w14:textId="77777777" w:rsidR="003C7122" w:rsidRDefault="00D75BF9">
      <w:pPr>
        <w:widowControl w:val="0"/>
        <w:autoSpaceDE w:val="0"/>
        <w:autoSpaceDN w:val="0"/>
        <w:adjustRightInd w:val="0"/>
        <w:jc w:val="both"/>
        <w:rPr>
          <w:color w:val="000000"/>
          <w:sz w:val="24"/>
          <w:szCs w:val="24"/>
        </w:rPr>
      </w:pPr>
      <w:r>
        <w:rPr>
          <w:b/>
          <w:bCs/>
          <w:color w:val="000000"/>
        </w:rPr>
        <w:t xml:space="preserve">b. The Meaning of the Phrase “Substantially the Same” in </w:t>
      </w:r>
      <w:hyperlink r:id="rId201" w:history="1">
        <w:r>
          <w:rPr>
            <w:b/>
            <w:bCs/>
            <w:color w:val="0000FF"/>
            <w:u w:val="single"/>
          </w:rPr>
          <w:t>18 U.S.C. 2334(d)(3)</w:t>
        </w:r>
      </w:hyperlink>
    </w:p>
    <w:p w14:paraId="6BA88FDE"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contends that certification is warranted to permit the Second Circuit Court of Appeals to address the September 24th Order's interpretation of the phrase “substantially the same” as used in </w:t>
      </w:r>
      <w:hyperlink r:id="rId202" w:history="1">
        <w:r>
          <w:rPr>
            <w:color w:val="0000FF"/>
            <w:u w:val="single"/>
          </w:rPr>
          <w:t>18 U.S.C. § 2334(d)(3)</w:t>
        </w:r>
      </w:hyperlink>
      <w:r>
        <w:rPr>
          <w:color w:val="000000"/>
        </w:rPr>
        <w:t xml:space="preserve">. As discussed above, in a motion brought under </w:t>
      </w:r>
      <w:hyperlink r:id="rId203" w:history="1">
        <w:r>
          <w:rPr>
            <w:color w:val="0000FF"/>
            <w:u w:val="single"/>
          </w:rPr>
          <w:t>18 U.S.C. § 2333</w:t>
        </w:r>
      </w:hyperlink>
      <w:r>
        <w:rPr>
          <w:color w:val="000000"/>
        </w:rPr>
        <w:t xml:space="preserve">, the ATA includes an explicit provision that precludes </w:t>
      </w:r>
      <w:r>
        <w:rPr>
          <w:i/>
          <w:iCs/>
          <w:color w:val="000000"/>
        </w:rPr>
        <w:t>forum non conveniens</w:t>
      </w:r>
      <w:r>
        <w:rPr>
          <w:color w:val="000000"/>
        </w:rPr>
        <w:t xml:space="preserve"> (“FNC”) dismissal unless, </w:t>
      </w:r>
      <w:r>
        <w:rPr>
          <w:i/>
          <w:iCs/>
          <w:color w:val="000000"/>
        </w:rPr>
        <w:t>inter alia,</w:t>
      </w:r>
      <w:r>
        <w:rPr>
          <w:color w:val="000000"/>
        </w:rPr>
        <w:t xml:space="preserve"> the case may be heard in a foreign court that “offers a remedy which is substantially the same as the one available in the courts of the United States.” </w:t>
      </w:r>
      <w:hyperlink r:id="rId204" w:history="1">
        <w:r>
          <w:rPr>
            <w:color w:val="0000FF"/>
            <w:u w:val="single"/>
          </w:rPr>
          <w:t>18 U.S.C. § 2334(d)(3)</w:t>
        </w:r>
      </w:hyperlink>
      <w:r>
        <w:rPr>
          <w:color w:val="000000"/>
        </w:rPr>
        <w:t>. Judge Sifton's September 24, 2009 Order concluded that the remedies offered by an Israeli court differ from those available in a court of United States in a number of respects, including that:</w:t>
      </w:r>
    </w:p>
    <w:p w14:paraId="3CA43288" w14:textId="77777777" w:rsidR="003C7122" w:rsidRDefault="003C7122">
      <w:pPr>
        <w:widowControl w:val="0"/>
        <w:autoSpaceDE w:val="0"/>
        <w:autoSpaceDN w:val="0"/>
        <w:adjustRightInd w:val="0"/>
        <w:rPr>
          <w:color w:val="000000"/>
          <w:sz w:val="24"/>
          <w:szCs w:val="24"/>
        </w:rPr>
      </w:pPr>
    </w:p>
    <w:p w14:paraId="0233610E" w14:textId="77777777" w:rsidR="003C7122" w:rsidRDefault="00D75BF9">
      <w:pPr>
        <w:widowControl w:val="0"/>
        <w:autoSpaceDE w:val="0"/>
        <w:autoSpaceDN w:val="0"/>
        <w:adjustRightInd w:val="0"/>
        <w:ind w:left="180"/>
        <w:jc w:val="both"/>
        <w:rPr>
          <w:color w:val="000000"/>
          <w:sz w:val="24"/>
          <w:szCs w:val="24"/>
        </w:rPr>
      </w:pPr>
      <w:r>
        <w:rPr>
          <w:color w:val="000000"/>
        </w:rPr>
        <w:t>Israeli courts exclude emotional harm from loss-of-consortium damages by limiting those damages to the econo</w:t>
      </w:r>
      <w:r>
        <w:rPr>
          <w:color w:val="000000"/>
        </w:rPr>
        <w:t>m</w:t>
      </w:r>
      <w:r>
        <w:rPr>
          <w:color w:val="000000"/>
        </w:rPr>
        <w:t>ic value of a substitute's cost on the market (e.g. the cost of obtaining a housekeeper, to compensate for the lost spouse's contribution to the maintenance of the household)[;] Israeli law provides no compensation in a wrongful death suit for the loss of companionship, affection and intimacy by the immediate family members of the victim; [and] emotional injury suffered as a result of the death of a loved one is generally not compensable unless it man</w:t>
      </w:r>
      <w:r>
        <w:rPr>
          <w:color w:val="000000"/>
        </w:rPr>
        <w:t>i</w:t>
      </w:r>
      <w:r>
        <w:rPr>
          <w:color w:val="000000"/>
        </w:rPr>
        <w:t>fests as a psychiatric illness.</w:t>
      </w:r>
    </w:p>
    <w:p w14:paraId="081EFACE" w14:textId="77777777" w:rsidR="003C7122" w:rsidRDefault="003C7122">
      <w:pPr>
        <w:widowControl w:val="0"/>
        <w:autoSpaceDE w:val="0"/>
        <w:autoSpaceDN w:val="0"/>
        <w:adjustRightInd w:val="0"/>
        <w:rPr>
          <w:color w:val="000000"/>
          <w:sz w:val="24"/>
          <w:szCs w:val="24"/>
        </w:rPr>
      </w:pPr>
    </w:p>
    <w:p w14:paraId="2788647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205" w:history="1">
        <w:proofErr w:type="gramStart"/>
        <w:r>
          <w:rPr>
            <w:color w:val="0000FF"/>
            <w:u w:val="single"/>
          </w:rPr>
          <w:t>660 F.Supp.2d at 423.</w:t>
        </w:r>
        <w:proofErr w:type="gramEnd"/>
      </w:hyperlink>
      <w:r>
        <w:rPr>
          <w:color w:val="000000"/>
        </w:rPr>
        <w:t xml:space="preserve"> Because the parties had not cited any case law interpreting the phrase “substantially the same” in the context of the ATA, and the court was not aware of any binding precedent interpreting that phrase, the September 24th Order considered as a matter of first impression whether the above distinctions precluded FNC di</w:t>
      </w:r>
      <w:r>
        <w:rPr>
          <w:color w:val="000000"/>
        </w:rPr>
        <w:t>s</w:t>
      </w:r>
      <w:r>
        <w:rPr>
          <w:color w:val="000000"/>
        </w:rPr>
        <w:t xml:space="preserve">missal in favor of an Israeli forum. Following a lengthy review of the statutory history of the ATA, Judge Sifton concluded that the ATA's use of the phrase “substantially the same” in </w:t>
      </w:r>
      <w:hyperlink r:id="rId206" w:history="1">
        <w:r>
          <w:rPr>
            <w:color w:val="0000FF"/>
            <w:u w:val="single"/>
          </w:rPr>
          <w:t>18 U.S.C. 2334(d)(3)</w:t>
        </w:r>
      </w:hyperlink>
      <w:r>
        <w:rPr>
          <w:color w:val="000000"/>
        </w:rPr>
        <w:t xml:space="preserve"> requires a remedy that “is essentially the same in both type and magnitude as that afforded in this jurisdiction,” and found that the remedies available in Israel did not meet that standard. </w:t>
      </w:r>
      <w:hyperlink r:id="rId207" w:history="1">
        <w:proofErr w:type="gramStart"/>
        <w:r>
          <w:rPr>
            <w:color w:val="0000FF"/>
            <w:u w:val="single"/>
          </w:rPr>
          <w:t>660 F.Supp.2d at 420-23</w:t>
        </w:r>
      </w:hyperlink>
      <w:r>
        <w:rPr>
          <w:color w:val="000000"/>
        </w:rPr>
        <w:t>.</w:t>
      </w:r>
      <w:proofErr w:type="gramEnd"/>
    </w:p>
    <w:p w14:paraId="3682F978" w14:textId="77777777" w:rsidR="003C7122" w:rsidRDefault="003C7122">
      <w:pPr>
        <w:widowControl w:val="0"/>
        <w:autoSpaceDE w:val="0"/>
        <w:autoSpaceDN w:val="0"/>
        <w:adjustRightInd w:val="0"/>
        <w:rPr>
          <w:color w:val="000000"/>
          <w:sz w:val="24"/>
          <w:szCs w:val="24"/>
        </w:rPr>
      </w:pPr>
    </w:p>
    <w:p w14:paraId="59A94FCA" w14:textId="77777777" w:rsidR="003C7122" w:rsidRDefault="00D75BF9">
      <w:pPr>
        <w:widowControl w:val="0"/>
        <w:autoSpaceDE w:val="0"/>
        <w:autoSpaceDN w:val="0"/>
        <w:adjustRightInd w:val="0"/>
        <w:ind w:firstLine="360"/>
        <w:jc w:val="both"/>
        <w:rPr>
          <w:color w:val="000000"/>
          <w:sz w:val="24"/>
          <w:szCs w:val="24"/>
        </w:rPr>
      </w:pPr>
      <w:r>
        <w:rPr>
          <w:color w:val="000000"/>
        </w:rPr>
        <w:t>Applying the standard for certification of an interlocutory appeal, at issue here is whether: (1) the meaning of the term “substantially the same” is a controlling question of law; (2) there exists a substantial ground for difference of opinion on the meaning of the term; and (3) an immediate appeal of the order may materially advance the ult</w:t>
      </w:r>
      <w:r>
        <w:rPr>
          <w:color w:val="000000"/>
        </w:rPr>
        <w:t>i</w:t>
      </w:r>
      <w:r>
        <w:rPr>
          <w:color w:val="000000"/>
        </w:rPr>
        <w:t xml:space="preserve">mate termination of this litigation. Even assuming the first and third requirements for interlocutory appeal were met </w:t>
      </w:r>
      <w:hyperlink w:anchor="Document1zzB017172021482735" w:history="1">
        <w:r>
          <w:rPr>
            <w:color w:val="0000FF"/>
            <w:u w:val="single"/>
            <w:vertAlign w:val="superscript"/>
          </w:rPr>
          <w:t>FN17</w:t>
        </w:r>
      </w:hyperlink>
      <w:bookmarkStart w:id="49" w:name="Document1zzF017172021482735"/>
      <w:bookmarkEnd w:id="49"/>
      <w:r>
        <w:rPr>
          <w:color w:val="000000"/>
        </w:rPr>
        <w:t>, certification is not warranted because there does not exist a substantial ground for a difference of opinion on this issue.</w:t>
      </w:r>
    </w:p>
    <w:p w14:paraId="4F66DCC9" w14:textId="77777777" w:rsidR="003C7122" w:rsidRDefault="003C7122">
      <w:pPr>
        <w:widowControl w:val="0"/>
        <w:autoSpaceDE w:val="0"/>
        <w:autoSpaceDN w:val="0"/>
        <w:adjustRightInd w:val="0"/>
        <w:rPr>
          <w:color w:val="000000"/>
          <w:sz w:val="24"/>
          <w:szCs w:val="24"/>
        </w:rPr>
      </w:pPr>
    </w:p>
    <w:p w14:paraId="3830F425" w14:textId="77777777" w:rsidR="003C7122" w:rsidRDefault="00D24980">
      <w:pPr>
        <w:widowControl w:val="0"/>
        <w:autoSpaceDE w:val="0"/>
        <w:autoSpaceDN w:val="0"/>
        <w:adjustRightInd w:val="0"/>
        <w:ind w:left="720"/>
        <w:jc w:val="both"/>
        <w:rPr>
          <w:color w:val="000000"/>
          <w:sz w:val="24"/>
          <w:szCs w:val="24"/>
        </w:rPr>
      </w:pPr>
      <w:hyperlink w:anchor="Document1zzF017172021482735" w:history="1">
        <w:r w:rsidR="00D75BF9">
          <w:rPr>
            <w:color w:val="0000FF"/>
            <w:u w:val="single"/>
          </w:rPr>
          <w:t>FN17.</w:t>
        </w:r>
      </w:hyperlink>
      <w:bookmarkStart w:id="50" w:name="Document1zzB017172021482735"/>
      <w:bookmarkEnd w:id="50"/>
      <w:r w:rsidR="00D75BF9">
        <w:rPr>
          <w:color w:val="000000"/>
        </w:rPr>
        <w:t xml:space="preserve"> It is not clear that the meaning of the term “substantially the same” is a controlling question of law because the requirement that a foreign forum “offers a remedy which is substantially the same as the one available in the courts of the United States” is a condition necessary, but not sufficient, for FNC dismissal. Even if the existence of an adequate alternative forum is established, the court must “balance private and public interest factors to ascertain whether the case should be adjudicated in plaintiff's chosen forum or in the alternative forum proposed by defendant,” while giving the appropriate degree of deference to degree of deference to a plaintiff's forum choice. </w:t>
      </w:r>
      <w:hyperlink r:id="rId208" w:history="1">
        <w:r w:rsidR="00D75BF9">
          <w:rPr>
            <w:i/>
            <w:iCs/>
            <w:color w:val="0000FF"/>
            <w:u w:val="single"/>
          </w:rPr>
          <w:t>Pollux Holding Ltd. v. Chase Manhattan Bank,</w:t>
        </w:r>
      </w:hyperlink>
      <w:hyperlink r:id="rId209" w:history="1">
        <w:r w:rsidR="00D75BF9">
          <w:rPr>
            <w:color w:val="0000FF"/>
            <w:u w:val="single"/>
          </w:rPr>
          <w:t xml:space="preserve"> 329 F.3d 64, 70-75 (2d Cir.2003)</w:t>
        </w:r>
      </w:hyperlink>
      <w:r w:rsidR="00D75BF9">
        <w:rPr>
          <w:color w:val="000000"/>
        </w:rPr>
        <w:t xml:space="preserve"> (citing </w:t>
      </w:r>
      <w:hyperlink r:id="rId210" w:history="1">
        <w:r w:rsidR="00D75BF9">
          <w:rPr>
            <w:i/>
            <w:iCs/>
            <w:color w:val="0000FF"/>
            <w:u w:val="single"/>
          </w:rPr>
          <w:t>Gulf Oil Corp. v. Gilbert,</w:t>
        </w:r>
      </w:hyperlink>
      <w:hyperlink r:id="rId211" w:history="1">
        <w:r w:rsidR="00D75BF9">
          <w:rPr>
            <w:color w:val="0000FF"/>
            <w:u w:val="single"/>
          </w:rPr>
          <w:t xml:space="preserve"> 330 U.S. 501, 507-509, 67 S.Ct. 839, 91 L.Ed. 1055 (1947)</w:t>
        </w:r>
      </w:hyperlink>
      <w:r w:rsidR="00D75BF9">
        <w:rPr>
          <w:color w:val="000000"/>
        </w:rPr>
        <w:t>). The Second Circuit has instructed that the selection of a United States forum by expatriate U.S. citizens would typically “be entitled to less deference than the choice of the same forum by a citizen resi</w:t>
      </w:r>
      <w:r w:rsidR="00D75BF9">
        <w:rPr>
          <w:color w:val="000000"/>
        </w:rPr>
        <w:t>d</w:t>
      </w:r>
      <w:r w:rsidR="00D75BF9">
        <w:rPr>
          <w:color w:val="000000"/>
        </w:rPr>
        <w:t>ing in the forum because ... ‘it would be less reasonable to assume the choice of forum is based on conve</w:t>
      </w:r>
      <w:r w:rsidR="00D75BF9">
        <w:rPr>
          <w:color w:val="000000"/>
        </w:rPr>
        <w:t>n</w:t>
      </w:r>
      <w:r w:rsidR="00D75BF9">
        <w:rPr>
          <w:color w:val="000000"/>
        </w:rPr>
        <w:t>ience,’ ” (and therefore more likely that forum-shopping for a higher damage award or for some other lit</w:t>
      </w:r>
      <w:r w:rsidR="00D75BF9">
        <w:rPr>
          <w:color w:val="000000"/>
        </w:rPr>
        <w:t>i</w:t>
      </w:r>
      <w:r w:rsidR="00D75BF9">
        <w:rPr>
          <w:color w:val="000000"/>
        </w:rPr>
        <w:t xml:space="preserve">gation advantage was the motivation for plaintiff's selection). </w:t>
      </w:r>
      <w:hyperlink r:id="rId212" w:history="1">
        <w:r w:rsidR="00D75BF9">
          <w:rPr>
            <w:i/>
            <w:iCs/>
            <w:color w:val="0000FF"/>
            <w:u w:val="single"/>
          </w:rPr>
          <w:t>Pollux,</w:t>
        </w:r>
      </w:hyperlink>
      <w:hyperlink r:id="rId213" w:history="1">
        <w:r w:rsidR="00D75BF9">
          <w:rPr>
            <w:color w:val="0000FF"/>
            <w:u w:val="single"/>
          </w:rPr>
          <w:t xml:space="preserve"> 329 F.3d at 73 (2d Cir.2003)</w:t>
        </w:r>
      </w:hyperlink>
      <w:r w:rsidR="00D75BF9">
        <w:rPr>
          <w:color w:val="000000"/>
        </w:rPr>
        <w:t xml:space="preserve"> (citing </w:t>
      </w:r>
      <w:hyperlink r:id="rId214" w:history="1">
        <w:r w:rsidR="00D75BF9">
          <w:rPr>
            <w:i/>
            <w:iCs/>
            <w:color w:val="0000FF"/>
            <w:u w:val="single"/>
          </w:rPr>
          <w:t>Iragorri v. United Technologies Corp.,</w:t>
        </w:r>
      </w:hyperlink>
      <w:hyperlink r:id="rId215" w:history="1">
        <w:r w:rsidR="00D75BF9">
          <w:rPr>
            <w:color w:val="0000FF"/>
            <w:u w:val="single"/>
          </w:rPr>
          <w:t xml:space="preserve"> 274 F.3d 65, 73 n. 5 (2d Cir.2001)</w:t>
        </w:r>
      </w:hyperlink>
      <w:r w:rsidR="00D75BF9">
        <w:rPr>
          <w:color w:val="000000"/>
        </w:rPr>
        <w:t>). However, the concern of forum shopping by foreign plaintiffs is of less relevance here, where legislative history shows that Congress inte</w:t>
      </w:r>
      <w:r w:rsidR="00D75BF9">
        <w:rPr>
          <w:color w:val="000000"/>
        </w:rPr>
        <w:t>n</w:t>
      </w:r>
      <w:r w:rsidR="00D75BF9">
        <w:rPr>
          <w:color w:val="000000"/>
        </w:rPr>
        <w:t>tionally changed FNC analysis to encourage suits in U.S. courts by those injured in terrorist attacks occu</w:t>
      </w:r>
      <w:r w:rsidR="00D75BF9">
        <w:rPr>
          <w:color w:val="000000"/>
        </w:rPr>
        <w:t>r</w:t>
      </w:r>
      <w:r w:rsidR="00D75BF9">
        <w:rPr>
          <w:color w:val="000000"/>
        </w:rPr>
        <w:t xml:space="preserve">ring abroad. Additionally, the private and public interest factors do not clearly favor Israel. Plaintiffs had a connection to this district stemming from their joining in related proceedings in 2005 in </w:t>
      </w:r>
      <w:r w:rsidR="00D75BF9">
        <w:rPr>
          <w:i/>
          <w:iCs/>
          <w:color w:val="000000"/>
        </w:rPr>
        <w:t>Coulter v. Arab Bank, plc</w:t>
      </w:r>
      <w:proofErr w:type="gramStart"/>
      <w:r w:rsidR="00D75BF9">
        <w:rPr>
          <w:i/>
          <w:iCs/>
          <w:color w:val="000000"/>
        </w:rPr>
        <w:t>.,</w:t>
      </w:r>
      <w:proofErr w:type="gramEnd"/>
      <w:r w:rsidR="00D75BF9">
        <w:rPr>
          <w:color w:val="000000"/>
        </w:rPr>
        <w:t xml:space="preserve"> No. 05-cv-365 (E.D.N.Y, complaint filed Jan. 21, 2005), and the potential for overlapping e</w:t>
      </w:r>
      <w:r w:rsidR="00D75BF9">
        <w:rPr>
          <w:color w:val="000000"/>
        </w:rPr>
        <w:t>x</w:t>
      </w:r>
      <w:r w:rsidR="00D75BF9">
        <w:rPr>
          <w:color w:val="000000"/>
        </w:rPr>
        <w:t>pert and fact witness testimony may generate efficiencies which make this district a convenient forum. Fu</w:t>
      </w:r>
      <w:r w:rsidR="00D75BF9">
        <w:rPr>
          <w:color w:val="000000"/>
        </w:rPr>
        <w:t>r</w:t>
      </w:r>
      <w:r w:rsidR="00D75BF9">
        <w:rPr>
          <w:color w:val="000000"/>
        </w:rPr>
        <w:t xml:space="preserve">ther, as discussed in section 2(c), </w:t>
      </w:r>
      <w:r w:rsidR="00D75BF9">
        <w:rPr>
          <w:i/>
          <w:iCs/>
          <w:color w:val="000000"/>
        </w:rPr>
        <w:t>infra,</w:t>
      </w:r>
      <w:r w:rsidR="00D75BF9">
        <w:rPr>
          <w:color w:val="000000"/>
        </w:rPr>
        <w:t xml:space="preserve"> the United States has a significant interest in adjudicating a dispute arising out of an international terrorist </w:t>
      </w:r>
      <w:proofErr w:type="gramStart"/>
      <w:r w:rsidR="00D75BF9">
        <w:rPr>
          <w:color w:val="000000"/>
        </w:rPr>
        <w:t>attack which</w:t>
      </w:r>
      <w:proofErr w:type="gramEnd"/>
      <w:r w:rsidR="00D75BF9">
        <w:rPr>
          <w:color w:val="000000"/>
        </w:rPr>
        <w:t xml:space="preserve"> resulted in the death of or injury to United States cit</w:t>
      </w:r>
      <w:r w:rsidR="00D75BF9">
        <w:rPr>
          <w:color w:val="000000"/>
        </w:rPr>
        <w:t>i</w:t>
      </w:r>
      <w:r w:rsidR="00D75BF9">
        <w:rPr>
          <w:color w:val="000000"/>
        </w:rPr>
        <w:t xml:space="preserve">zens. Specifically, while Stuart Goldberg was not a U.S. citizen, the terrorist attack is alleged to have caused harm to his surviving family members, who were U.S. citizens. Plaintiffs also contend that at least one American Citizen was killed in the bus bombing which killed Stuart Goldberg. </w:t>
      </w:r>
      <w:proofErr w:type="gramStart"/>
      <w:r w:rsidR="00D75BF9">
        <w:rPr>
          <w:color w:val="000000"/>
        </w:rPr>
        <w:t>Pl. Motion to Dismiss at 25 n. 15.</w:t>
      </w:r>
      <w:proofErr w:type="gramEnd"/>
      <w:r w:rsidR="00D75BF9">
        <w:rPr>
          <w:color w:val="000000"/>
        </w:rPr>
        <w:t xml:space="preserve"> Because there is no evidence before the court to support such an assertion, I do not address what its relevance, if any, would be to an analysis of the FNC factors under </w:t>
      </w:r>
      <w:hyperlink r:id="rId216" w:history="1">
        <w:r w:rsidR="00D75BF9">
          <w:rPr>
            <w:i/>
            <w:iCs/>
            <w:color w:val="0000FF"/>
            <w:u w:val="single"/>
          </w:rPr>
          <w:t>Gilbert.</w:t>
        </w:r>
      </w:hyperlink>
    </w:p>
    <w:p w14:paraId="49130336" w14:textId="77777777" w:rsidR="003C7122" w:rsidRDefault="003C7122">
      <w:pPr>
        <w:widowControl w:val="0"/>
        <w:autoSpaceDE w:val="0"/>
        <w:autoSpaceDN w:val="0"/>
        <w:adjustRightInd w:val="0"/>
        <w:rPr>
          <w:color w:val="000000"/>
          <w:sz w:val="24"/>
          <w:szCs w:val="24"/>
        </w:rPr>
      </w:pPr>
    </w:p>
    <w:p w14:paraId="796F0B4D" w14:textId="77777777" w:rsidR="003C7122" w:rsidRDefault="00D24980">
      <w:pPr>
        <w:widowControl w:val="0"/>
        <w:autoSpaceDE w:val="0"/>
        <w:autoSpaceDN w:val="0"/>
        <w:adjustRightInd w:val="0"/>
        <w:ind w:firstLine="360"/>
        <w:jc w:val="both"/>
        <w:rPr>
          <w:color w:val="000000"/>
          <w:sz w:val="24"/>
          <w:szCs w:val="24"/>
        </w:rPr>
      </w:pPr>
      <w:hyperlink r:id="rId217" w:history="1">
        <w:r w:rsidR="00D75BF9">
          <w:rPr>
            <w:color w:val="0000FF"/>
            <w:u w:val="single"/>
          </w:rPr>
          <w:t>Section 1292(b)</w:t>
        </w:r>
      </w:hyperlink>
      <w:r w:rsidR="00D75BF9">
        <w:rPr>
          <w:color w:val="000000"/>
        </w:rPr>
        <w:t xml:space="preserve">'s requirement that there be a “substantial ground for difference of opinion” may be met where there is “substantial doubt that the district court's order was correct;” </w:t>
      </w:r>
      <w:hyperlink r:id="rId218" w:history="1">
        <w:r w:rsidR="00D75BF9">
          <w:rPr>
            <w:i/>
            <w:iCs/>
            <w:color w:val="0000FF"/>
            <w:u w:val="single"/>
          </w:rPr>
          <w:t>Redhead v. Conf. of Seventh-Day Adventists,</w:t>
        </w:r>
      </w:hyperlink>
      <w:hyperlink r:id="rId219" w:history="1">
        <w:r w:rsidR="00D75BF9">
          <w:rPr>
            <w:color w:val="0000FF"/>
            <w:u w:val="single"/>
          </w:rPr>
          <w:t xml:space="preserve"> No. 03-CV-6187 (DLI), 2006 WL 2729035, *2 (E.D.N.Y. Sept. 25, 2006)</w:t>
        </w:r>
      </w:hyperlink>
      <w:r w:rsidR="00D75BF9">
        <w:rPr>
          <w:color w:val="000000"/>
        </w:rPr>
        <w:t xml:space="preserve"> (citation omitted); where “there is co</w:t>
      </w:r>
      <w:r w:rsidR="00D75BF9">
        <w:rPr>
          <w:color w:val="000000"/>
        </w:rPr>
        <w:t>n</w:t>
      </w:r>
      <w:r w:rsidR="00D75BF9">
        <w:rPr>
          <w:color w:val="000000"/>
        </w:rPr>
        <w:t xml:space="preserve">flicting authority on the issue;” or where the issue “is particularly difficult and of first impression for the Second Circuit.” </w:t>
      </w:r>
      <w:hyperlink r:id="rId220" w:history="1">
        <w:r w:rsidR="00D75BF9">
          <w:rPr>
            <w:i/>
            <w:iCs/>
            <w:color w:val="0000FF"/>
            <w:u w:val="single"/>
          </w:rPr>
          <w:t>Aspen Ford,</w:t>
        </w:r>
      </w:hyperlink>
      <w:hyperlink r:id="rId221" w:history="1">
        <w:r w:rsidR="00D75BF9">
          <w:rPr>
            <w:color w:val="0000FF"/>
            <w:u w:val="single"/>
          </w:rPr>
          <w:t xml:space="preserve"> 2008 WL 163695, at *2</w:t>
        </w:r>
      </w:hyperlink>
      <w:r w:rsidR="00D75BF9">
        <w:rPr>
          <w:color w:val="000000"/>
        </w:rPr>
        <w:t xml:space="preserve"> (citing </w:t>
      </w:r>
      <w:hyperlink r:id="rId222" w:history="1">
        <w:r w:rsidR="00D75BF9">
          <w:rPr>
            <w:i/>
            <w:iCs/>
            <w:color w:val="0000FF"/>
            <w:u w:val="single"/>
          </w:rPr>
          <w:t>Morris,</w:t>
        </w:r>
      </w:hyperlink>
      <w:hyperlink r:id="rId223" w:history="1">
        <w:r w:rsidR="00D75BF9">
          <w:rPr>
            <w:color w:val="0000FF"/>
            <w:u w:val="single"/>
          </w:rPr>
          <w:t xml:space="preserve"> 511 F.Supp.2d at 317).</w:t>
        </w:r>
      </w:hyperlink>
      <w:r w:rsidR="00D75BF9">
        <w:rPr>
          <w:color w:val="000000"/>
        </w:rPr>
        <w:t xml:space="preserve"> However, the Second Circuit has held that the “mere presence of a disputed issue that is a question of first impression, standing alone, is insuff</w:t>
      </w:r>
      <w:r w:rsidR="00D75BF9">
        <w:rPr>
          <w:color w:val="000000"/>
        </w:rPr>
        <w:t>i</w:t>
      </w:r>
      <w:r w:rsidR="00D75BF9">
        <w:rPr>
          <w:color w:val="000000"/>
        </w:rPr>
        <w:t xml:space="preserve">cient to demonstrate a substantial ground for difference of opinion.” </w:t>
      </w:r>
      <w:hyperlink r:id="rId224" w:history="1">
        <w:r w:rsidR="00D75BF9">
          <w:rPr>
            <w:i/>
            <w:iCs/>
            <w:color w:val="0000FF"/>
            <w:u w:val="single"/>
          </w:rPr>
          <w:t>In re Flor,</w:t>
        </w:r>
      </w:hyperlink>
      <w:hyperlink r:id="rId225" w:history="1">
        <w:r w:rsidR="00D75BF9">
          <w:rPr>
            <w:color w:val="0000FF"/>
            <w:u w:val="single"/>
          </w:rPr>
          <w:t xml:space="preserve"> 79 F.3d 281, 284 (2d Cir.1996)</w:t>
        </w:r>
      </w:hyperlink>
      <w:r w:rsidR="00D75BF9">
        <w:rPr>
          <w:color w:val="000000"/>
        </w:rPr>
        <w:t xml:space="preserve">; </w:t>
      </w:r>
      <w:r w:rsidR="00D75BF9">
        <w:rPr>
          <w:i/>
          <w:iCs/>
          <w:color w:val="000000"/>
        </w:rPr>
        <w:t xml:space="preserve">see also </w:t>
      </w:r>
      <w:hyperlink r:id="rId226" w:history="1">
        <w:r w:rsidR="00D75BF9">
          <w:rPr>
            <w:i/>
            <w:iCs/>
            <w:color w:val="0000FF"/>
            <w:u w:val="single"/>
          </w:rPr>
          <w:t>Carbotrade SpA v. Bureau Veritas,</w:t>
        </w:r>
      </w:hyperlink>
      <w:hyperlink r:id="rId227" w:history="1">
        <w:r w:rsidR="00D75BF9">
          <w:rPr>
            <w:color w:val="0000FF"/>
            <w:u w:val="single"/>
          </w:rPr>
          <w:t xml:space="preserve"> No. 92-CIV-1459 (RPP), 1993 WL 60567, *1 (S.D.N.Y. March 2, 1993)</w:t>
        </w:r>
      </w:hyperlink>
      <w:r w:rsidR="00D75BF9">
        <w:rPr>
          <w:color w:val="000000"/>
        </w:rPr>
        <w:t xml:space="preserve"> (“[Defendant has] failed to present a single case or other legal authority showing that there is ‘substantial doubt’ that this Court was correct.... The defendant correctly asserts that this issue is one of first impression. Though relevant, this fact does not, without more, suffice to present a ‘substantial ground for difference of opinion’ under </w:t>
      </w:r>
      <w:hyperlink r:id="rId228" w:history="1">
        <w:r w:rsidR="00D75BF9">
          <w:rPr>
            <w:color w:val="0000FF"/>
            <w:u w:val="single"/>
          </w:rPr>
          <w:t>28 U.S.C. § 1292(b)</w:t>
        </w:r>
      </w:hyperlink>
      <w:r w:rsidR="00D75BF9">
        <w:rPr>
          <w:color w:val="000000"/>
        </w:rPr>
        <w:t>.”) (</w:t>
      </w:r>
      <w:proofErr w:type="gramStart"/>
      <w:r w:rsidR="00D75BF9">
        <w:rPr>
          <w:color w:val="000000"/>
        </w:rPr>
        <w:t>citation</w:t>
      </w:r>
      <w:proofErr w:type="gramEnd"/>
      <w:r w:rsidR="00D75BF9">
        <w:rPr>
          <w:color w:val="000000"/>
        </w:rPr>
        <w:t xml:space="preserve"> omitted). </w:t>
      </w:r>
      <w:r w:rsidR="00D75BF9">
        <w:rPr>
          <w:i/>
          <w:iCs/>
          <w:color w:val="000000"/>
        </w:rPr>
        <w:t xml:space="preserve">Cf. </w:t>
      </w:r>
      <w:hyperlink r:id="rId229" w:history="1">
        <w:r w:rsidR="00D75BF9">
          <w:rPr>
            <w:i/>
            <w:iCs/>
            <w:color w:val="0000FF"/>
            <w:u w:val="single"/>
          </w:rPr>
          <w:t>Primavera Familienstifung v. Askin,</w:t>
        </w:r>
      </w:hyperlink>
      <w:hyperlink r:id="rId230" w:history="1">
        <w:r w:rsidR="00D75BF9">
          <w:rPr>
            <w:color w:val="0000FF"/>
            <w:u w:val="single"/>
          </w:rPr>
          <w:t xml:space="preserve"> 139 F.Supp.2d 567, 570 (S.D.N.Y.2001)</w:t>
        </w:r>
      </w:hyperlink>
      <w:r w:rsidR="00D75BF9">
        <w:rPr>
          <w:color w:val="000000"/>
        </w:rPr>
        <w:t xml:space="preserve"> (“</w:t>
      </w:r>
      <w:hyperlink r:id="rId231" w:history="1">
        <w:r w:rsidR="00D75BF9">
          <w:rPr>
            <w:color w:val="0000FF"/>
            <w:u w:val="single"/>
          </w:rPr>
          <w:t>Section 1292(b)</w:t>
        </w:r>
      </w:hyperlink>
      <w:r w:rsidR="00D75BF9">
        <w:rPr>
          <w:color w:val="000000"/>
        </w:rPr>
        <w:t xml:space="preserve"> was not intended ... to be a ‘vehicle to provide early review of difficult rulings in hard cases.’ ” (</w:t>
      </w:r>
      <w:proofErr w:type="gramStart"/>
      <w:r w:rsidR="00D75BF9">
        <w:rPr>
          <w:color w:val="000000"/>
        </w:rPr>
        <w:t>quoting</w:t>
      </w:r>
      <w:proofErr w:type="gramEnd"/>
      <w:r w:rsidR="00D75BF9">
        <w:rPr>
          <w:color w:val="000000"/>
        </w:rPr>
        <w:t xml:space="preserve"> </w:t>
      </w:r>
      <w:hyperlink r:id="rId232" w:history="1">
        <w:r w:rsidR="00D75BF9">
          <w:rPr>
            <w:i/>
            <w:iCs/>
            <w:color w:val="0000FF"/>
            <w:u w:val="single"/>
          </w:rPr>
          <w:t>German v. Fed. Home Loan Mortgage Corp.,</w:t>
        </w:r>
      </w:hyperlink>
      <w:hyperlink r:id="rId233" w:history="1">
        <w:r w:rsidR="00D75BF9">
          <w:rPr>
            <w:color w:val="0000FF"/>
            <w:u w:val="single"/>
          </w:rPr>
          <w:t xml:space="preserve"> 896 F.Supp. </w:t>
        </w:r>
        <w:proofErr w:type="gramStart"/>
        <w:r w:rsidR="00D75BF9">
          <w:rPr>
            <w:color w:val="0000FF"/>
            <w:u w:val="single"/>
          </w:rPr>
          <w:t>1385, 1398 (S.D.N.Y.1995)</w:t>
        </w:r>
      </w:hyperlink>
      <w:r w:rsidR="00D75BF9">
        <w:rPr>
          <w:color w:val="000000"/>
        </w:rPr>
        <w:t>)).</w:t>
      </w:r>
      <w:proofErr w:type="gramEnd"/>
      <w:r w:rsidR="00D948DA">
        <w:fldChar w:fldCharType="begin"/>
      </w:r>
      <w:r w:rsidR="00D948DA">
        <w:instrText xml:space="preserve"> HYPERLINK \l "Document1zzB018182021482735" </w:instrText>
      </w:r>
      <w:r w:rsidR="00D948DA">
        <w:fldChar w:fldCharType="separate"/>
      </w:r>
      <w:r w:rsidR="00D75BF9">
        <w:rPr>
          <w:color w:val="0000FF"/>
          <w:u w:val="single"/>
          <w:vertAlign w:val="superscript"/>
        </w:rPr>
        <w:t>FN18</w:t>
      </w:r>
      <w:r w:rsidR="00D948DA">
        <w:rPr>
          <w:color w:val="0000FF"/>
          <w:u w:val="single"/>
          <w:vertAlign w:val="superscript"/>
        </w:rPr>
        <w:fldChar w:fldCharType="end"/>
      </w:r>
      <w:bookmarkStart w:id="51" w:name="Document1zzF018182021482735"/>
      <w:bookmarkEnd w:id="51"/>
    </w:p>
    <w:p w14:paraId="34117D43" w14:textId="77777777" w:rsidR="003C7122" w:rsidRDefault="003C7122">
      <w:pPr>
        <w:widowControl w:val="0"/>
        <w:autoSpaceDE w:val="0"/>
        <w:autoSpaceDN w:val="0"/>
        <w:adjustRightInd w:val="0"/>
        <w:rPr>
          <w:color w:val="000000"/>
          <w:sz w:val="24"/>
          <w:szCs w:val="24"/>
        </w:rPr>
      </w:pPr>
    </w:p>
    <w:p w14:paraId="1DFF4996" w14:textId="77777777" w:rsidR="003C7122" w:rsidRDefault="00D24980">
      <w:pPr>
        <w:widowControl w:val="0"/>
        <w:autoSpaceDE w:val="0"/>
        <w:autoSpaceDN w:val="0"/>
        <w:adjustRightInd w:val="0"/>
        <w:ind w:left="720"/>
        <w:jc w:val="both"/>
        <w:rPr>
          <w:color w:val="000000"/>
          <w:sz w:val="24"/>
          <w:szCs w:val="24"/>
        </w:rPr>
      </w:pPr>
      <w:hyperlink w:anchor="Document1zzF018182021482735" w:history="1">
        <w:r w:rsidR="00D75BF9">
          <w:rPr>
            <w:color w:val="0000FF"/>
            <w:u w:val="single"/>
          </w:rPr>
          <w:t>FN18.</w:t>
        </w:r>
      </w:hyperlink>
      <w:bookmarkStart w:id="52" w:name="Document1zzB018182021482735"/>
      <w:bookmarkEnd w:id="52"/>
      <w:r w:rsidR="00D75BF9">
        <w:rPr>
          <w:color w:val="000000"/>
        </w:rPr>
        <w:t xml:space="preserve"> The novelty of an issue may counsel against certification because interlocutory appeal would require the Second Circuit to decide an issue without the benefits afforded by a full record. </w:t>
      </w:r>
      <w:r w:rsidR="00D75BF9">
        <w:rPr>
          <w:i/>
          <w:iCs/>
          <w:color w:val="000000"/>
        </w:rPr>
        <w:t>See</w:t>
      </w:r>
      <w:r w:rsidR="00D75BF9">
        <w:rPr>
          <w:color w:val="000000"/>
        </w:rPr>
        <w:t xml:space="preserve"> </w:t>
      </w:r>
      <w:hyperlink r:id="rId234" w:history="1">
        <w:r w:rsidR="00D75BF9">
          <w:rPr>
            <w:color w:val="0000FF"/>
            <w:u w:val="single"/>
          </w:rPr>
          <w:t xml:space="preserve">16 C. Wright, A. Miller, E. Cooper, &amp; E. Gressman, </w:t>
        </w:r>
      </w:hyperlink>
      <w:hyperlink r:id="rId235" w:history="1">
        <w:r w:rsidR="00D75BF9">
          <w:rPr>
            <w:i/>
            <w:iCs/>
            <w:color w:val="0000FF"/>
            <w:u w:val="single"/>
          </w:rPr>
          <w:t>Federal Practice and Procedure</w:t>
        </w:r>
      </w:hyperlink>
      <w:hyperlink r:id="rId236" w:history="1">
        <w:r w:rsidR="00D75BF9">
          <w:rPr>
            <w:color w:val="0000FF"/>
            <w:u w:val="single"/>
          </w:rPr>
          <w:t xml:space="preserve"> § 3929, pp. 144-145 (2009)</w:t>
        </w:r>
      </w:hyperlink>
      <w:r w:rsidR="00D75BF9">
        <w:rPr>
          <w:color w:val="000000"/>
        </w:rPr>
        <w:t xml:space="preserve"> (“an u</w:t>
      </w:r>
      <w:r w:rsidR="00D75BF9">
        <w:rPr>
          <w:color w:val="000000"/>
        </w:rPr>
        <w:t>n</w:t>
      </w:r>
      <w:r w:rsidR="00D75BF9">
        <w:rPr>
          <w:color w:val="000000"/>
        </w:rPr>
        <w:t>derdeveloped record may lead to ill-informed decision of an important question.”) (</w:t>
      </w:r>
      <w:proofErr w:type="gramStart"/>
      <w:r w:rsidR="00D75BF9">
        <w:rPr>
          <w:color w:val="000000"/>
        </w:rPr>
        <w:t>citing</w:t>
      </w:r>
      <w:proofErr w:type="gramEnd"/>
      <w:r w:rsidR="00D75BF9">
        <w:rPr>
          <w:color w:val="000000"/>
        </w:rPr>
        <w:t xml:space="preserve"> </w:t>
      </w:r>
      <w:hyperlink r:id="rId237" w:history="1">
        <w:r w:rsidR="00D75BF9">
          <w:rPr>
            <w:i/>
            <w:iCs/>
            <w:color w:val="0000FF"/>
            <w:u w:val="single"/>
          </w:rPr>
          <w:t>Koehler v. Bank of Bermuda Ltd.,</w:t>
        </w:r>
      </w:hyperlink>
      <w:hyperlink r:id="rId238" w:history="1">
        <w:r w:rsidR="00D75BF9">
          <w:rPr>
            <w:color w:val="0000FF"/>
            <w:u w:val="single"/>
          </w:rPr>
          <w:t xml:space="preserve"> 101 F.3d 863, 866 (2d Cir.1996)</w:t>
        </w:r>
      </w:hyperlink>
      <w:r w:rsidR="00D75BF9">
        <w:rPr>
          <w:color w:val="000000"/>
        </w:rPr>
        <w:t xml:space="preserve">); </w:t>
      </w:r>
      <w:r w:rsidR="00D75BF9">
        <w:rPr>
          <w:i/>
          <w:iCs/>
          <w:color w:val="000000"/>
        </w:rPr>
        <w:t xml:space="preserve">see also </w:t>
      </w:r>
      <w:hyperlink r:id="rId239" w:history="1">
        <w:r w:rsidR="00D75BF9">
          <w:rPr>
            <w:i/>
            <w:iCs/>
            <w:color w:val="0000FF"/>
            <w:u w:val="single"/>
          </w:rPr>
          <w:t>Slade v. Shearson, Hammill &amp; Co., Inc.,</w:t>
        </w:r>
      </w:hyperlink>
      <w:hyperlink r:id="rId240" w:history="1">
        <w:r w:rsidR="00D75BF9">
          <w:rPr>
            <w:color w:val="0000FF"/>
            <w:u w:val="single"/>
          </w:rPr>
          <w:t xml:space="preserve"> 517 F.2d 398, 403 (2d Cir.1974)</w:t>
        </w:r>
      </w:hyperlink>
      <w:r w:rsidR="00D75BF9">
        <w:rPr>
          <w:color w:val="000000"/>
        </w:rPr>
        <w:t xml:space="preserve"> (“It would be the height of judicial folly, we think, to attempt on an indeterm</w:t>
      </w:r>
      <w:r w:rsidR="00D75BF9">
        <w:rPr>
          <w:color w:val="000000"/>
        </w:rPr>
        <w:t>i</w:t>
      </w:r>
      <w:r w:rsidR="00D75BF9">
        <w:rPr>
          <w:color w:val="000000"/>
        </w:rPr>
        <w:t>nate factual record to make an abstract exposition that would adequately cover the various contexts and reach the proper overall results.”).</w:t>
      </w:r>
    </w:p>
    <w:p w14:paraId="65B6B597" w14:textId="77777777" w:rsidR="003C7122" w:rsidRDefault="003C7122">
      <w:pPr>
        <w:widowControl w:val="0"/>
        <w:autoSpaceDE w:val="0"/>
        <w:autoSpaceDN w:val="0"/>
        <w:adjustRightInd w:val="0"/>
        <w:rPr>
          <w:color w:val="000000"/>
          <w:sz w:val="24"/>
          <w:szCs w:val="24"/>
        </w:rPr>
      </w:pPr>
    </w:p>
    <w:p w14:paraId="2D61413E"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argues that the court's interpretation of the phrase “substantially the same” is contrary to the plain meaning of the word “substantially,” and that “it is a difficult issue because ... the words themselves are not defined” in the statute, thereby forcing the court to write on a ‘blank slate.’ ” Defendant's Motion to Certify the September 24, 2009 Order for Interlocutory Appeal (“Def. Cert. Br.”) </w:t>
      </w:r>
      <w:proofErr w:type="gramStart"/>
      <w:r>
        <w:rPr>
          <w:color w:val="000000"/>
        </w:rPr>
        <w:t>at</w:t>
      </w:r>
      <w:proofErr w:type="gramEnd"/>
      <w:r>
        <w:rPr>
          <w:color w:val="000000"/>
        </w:rPr>
        <w:t xml:space="preserve"> 6. In support of its contention, defendant cites Webster's Dictionary's definition of the word “substantially,” as “being largely, but not wholly </w:t>
      </w:r>
      <w:proofErr w:type="gramStart"/>
      <w:r>
        <w:rPr>
          <w:color w:val="000000"/>
        </w:rPr>
        <w:t>that which</w:t>
      </w:r>
      <w:proofErr w:type="gramEnd"/>
      <w:r>
        <w:rPr>
          <w:color w:val="000000"/>
        </w:rPr>
        <w:t xml:space="preserve"> is specified.” Def. Cert. Br. at 7 (citing Webster's Ninth New Collegiate Dictionary (1998)).</w:t>
      </w:r>
    </w:p>
    <w:p w14:paraId="0710A3C5" w14:textId="77777777" w:rsidR="003C7122" w:rsidRDefault="003C7122">
      <w:pPr>
        <w:widowControl w:val="0"/>
        <w:autoSpaceDE w:val="0"/>
        <w:autoSpaceDN w:val="0"/>
        <w:adjustRightInd w:val="0"/>
        <w:rPr>
          <w:color w:val="000000"/>
          <w:sz w:val="24"/>
          <w:szCs w:val="24"/>
        </w:rPr>
      </w:pPr>
    </w:p>
    <w:p w14:paraId="2467718B" w14:textId="77777777" w:rsidR="003C7122" w:rsidRDefault="00D24980">
      <w:pPr>
        <w:widowControl w:val="0"/>
        <w:autoSpaceDE w:val="0"/>
        <w:autoSpaceDN w:val="0"/>
        <w:adjustRightInd w:val="0"/>
        <w:ind w:firstLine="360"/>
        <w:jc w:val="both"/>
        <w:rPr>
          <w:color w:val="000000"/>
          <w:sz w:val="24"/>
          <w:szCs w:val="24"/>
        </w:rPr>
      </w:pPr>
      <w:hyperlink w:anchor="Document1zzF32021482735" w:history="1">
        <w:r w:rsidR="00D75BF9">
          <w:rPr>
            <w:color w:val="0000FF"/>
            <w:u w:val="single"/>
          </w:rPr>
          <w:t>[3]</w:t>
        </w:r>
      </w:hyperlink>
      <w:bookmarkStart w:id="53" w:name="Document1zzB32021482735"/>
      <w:bookmarkEnd w:id="53"/>
      <w:r w:rsidR="00D75BF9">
        <w:rPr>
          <w:color w:val="000000"/>
        </w:rPr>
        <w:t xml:space="preserve"> The cited definition, standing alone, fails to establish that the statutory interpretation question is incorrect or “particularly difficult.” As Judge Sifton concluded in the September 24th Order, the meaning of the phrase “substa</w:t>
      </w:r>
      <w:r w:rsidR="00D75BF9">
        <w:rPr>
          <w:color w:val="000000"/>
        </w:rPr>
        <w:t>n</w:t>
      </w:r>
      <w:r w:rsidR="00D75BF9">
        <w:rPr>
          <w:color w:val="000000"/>
        </w:rPr>
        <w:t>tially the same” need not be examined in isolation but rather must properly be considered in light of the general pu</w:t>
      </w:r>
      <w:r w:rsidR="00D75BF9">
        <w:rPr>
          <w:color w:val="000000"/>
        </w:rPr>
        <w:t>r</w:t>
      </w:r>
      <w:r w:rsidR="00D75BF9">
        <w:rPr>
          <w:color w:val="000000"/>
        </w:rPr>
        <w:t xml:space="preserve">poses for which the ATA was enacted, and how the language in question fits into that statutory scheme. </w:t>
      </w:r>
      <w:hyperlink r:id="rId241" w:history="1">
        <w:proofErr w:type="gramStart"/>
        <w:r w:rsidR="00D75BF9">
          <w:rPr>
            <w:i/>
            <w:iCs/>
            <w:color w:val="0000FF"/>
            <w:u w:val="single"/>
          </w:rPr>
          <w:t>Goldberg,</w:t>
        </w:r>
      </w:hyperlink>
      <w:hyperlink r:id="rId242" w:history="1">
        <w:r w:rsidR="00D75BF9">
          <w:rPr>
            <w:color w:val="0000FF"/>
            <w:u w:val="single"/>
          </w:rPr>
          <w:t xml:space="preserve"> 660 F.Supp.2d at 421.</w:t>
        </w:r>
        <w:proofErr w:type="gramEnd"/>
      </w:hyperlink>
      <w:r w:rsidR="00D75BF9">
        <w:rPr>
          <w:color w:val="000000"/>
        </w:rPr>
        <w:t xml:space="preserve"> That statutory history, recounted in a number of published opinions, makes clear that Co</w:t>
      </w:r>
      <w:r w:rsidR="00D75BF9">
        <w:rPr>
          <w:color w:val="000000"/>
        </w:rPr>
        <w:t>n</w:t>
      </w:r>
      <w:r w:rsidR="00D75BF9">
        <w:rPr>
          <w:color w:val="000000"/>
        </w:rPr>
        <w:t>gress wanted to ensure that ATA suits were not routinely dismissed on FNC grounds in favor of courts with rem</w:t>
      </w:r>
      <w:r w:rsidR="00D75BF9">
        <w:rPr>
          <w:color w:val="000000"/>
        </w:rPr>
        <w:t>e</w:t>
      </w:r>
      <w:r w:rsidR="00D75BF9">
        <w:rPr>
          <w:color w:val="000000"/>
        </w:rPr>
        <w:t xml:space="preserve">dies less favorable to plaintiffs. </w:t>
      </w:r>
      <w:r w:rsidR="00D75BF9">
        <w:rPr>
          <w:i/>
          <w:iCs/>
          <w:color w:val="000000"/>
        </w:rPr>
        <w:t xml:space="preserve">See </w:t>
      </w:r>
      <w:hyperlink r:id="rId243" w:history="1">
        <w:r w:rsidR="00D75BF9">
          <w:rPr>
            <w:i/>
            <w:iCs/>
            <w:color w:val="0000FF"/>
            <w:u w:val="single"/>
          </w:rPr>
          <w:t>id.</w:t>
        </w:r>
      </w:hyperlink>
      <w:hyperlink r:id="rId244" w:history="1">
        <w:r w:rsidR="00D75BF9">
          <w:rPr>
            <w:color w:val="0000FF"/>
            <w:u w:val="single"/>
          </w:rPr>
          <w:t xml:space="preserve"> </w:t>
        </w:r>
        <w:proofErr w:type="gramStart"/>
        <w:r w:rsidR="00D75BF9">
          <w:rPr>
            <w:color w:val="0000FF"/>
            <w:u w:val="single"/>
          </w:rPr>
          <w:t>at</w:t>
        </w:r>
        <w:proofErr w:type="gramEnd"/>
        <w:r w:rsidR="00D75BF9">
          <w:rPr>
            <w:color w:val="0000FF"/>
            <w:u w:val="single"/>
          </w:rPr>
          <w:t xml:space="preserve"> 422</w:t>
        </w:r>
      </w:hyperlink>
      <w:r w:rsidR="00D75BF9">
        <w:rPr>
          <w:color w:val="000000"/>
        </w:rPr>
        <w:t xml:space="preserve"> (“[R]emedies in the bill were not an afterthought, but rather [were] conceived of as a mechanism through which to accomplish the primary purposes of the act”); </w:t>
      </w:r>
      <w:r w:rsidR="00D75BF9">
        <w:rPr>
          <w:i/>
          <w:iCs/>
          <w:color w:val="000000"/>
        </w:rPr>
        <w:t xml:space="preserve">see also </w:t>
      </w:r>
      <w:hyperlink r:id="rId245" w:history="1">
        <w:r w:rsidR="00D75BF9">
          <w:rPr>
            <w:i/>
            <w:iCs/>
            <w:color w:val="0000FF"/>
            <w:u w:val="single"/>
          </w:rPr>
          <w:t>Litle v. Arab Bank, PLC,</w:t>
        </w:r>
      </w:hyperlink>
      <w:hyperlink r:id="rId246" w:history="1">
        <w:r w:rsidR="00D75BF9">
          <w:rPr>
            <w:color w:val="0000FF"/>
            <w:u w:val="single"/>
          </w:rPr>
          <w:t xml:space="preserve"> 611 F.Supp.2d 233, 245 (E.D.N.Y.2009)</w:t>
        </w:r>
      </w:hyperlink>
      <w:r w:rsidR="00D75BF9">
        <w:rPr>
          <w:color w:val="000000"/>
        </w:rPr>
        <w:t xml:space="preserve"> (“Senator Grassley explained when introducing </w:t>
      </w:r>
      <w:hyperlink r:id="rId247" w:history="1">
        <w:r w:rsidR="00D75BF9">
          <w:rPr>
            <w:color w:val="0000FF"/>
            <w:u w:val="single"/>
          </w:rPr>
          <w:t>Section 2333</w:t>
        </w:r>
      </w:hyperlink>
      <w:r w:rsidR="00D75BF9">
        <w:rPr>
          <w:color w:val="000000"/>
        </w:rPr>
        <w:t xml:space="preserve"> in 1991 [that] the purpose of the ATA is that it ... empowers victims with all the weapons available in civil litigation [and] ‘</w:t>
      </w:r>
      <w:r w:rsidR="00D75BF9">
        <w:rPr>
          <w:i/>
          <w:iCs/>
          <w:color w:val="000000"/>
        </w:rPr>
        <w:t>accords victims of terrorism the remedies of American tort</w:t>
      </w:r>
      <w:r w:rsidR="00D75BF9">
        <w:rPr>
          <w:color w:val="000000"/>
        </w:rPr>
        <w:t xml:space="preserve"> law.’ ” (</w:t>
      </w:r>
      <w:proofErr w:type="gramStart"/>
      <w:r w:rsidR="00D75BF9">
        <w:rPr>
          <w:color w:val="000000"/>
        </w:rPr>
        <w:t>citing</w:t>
      </w:r>
      <w:proofErr w:type="gramEnd"/>
      <w:r w:rsidR="00D75BF9">
        <w:rPr>
          <w:color w:val="000000"/>
        </w:rPr>
        <w:t xml:space="preserve"> 137 Cong. Rec. S4511 (Apr. 16, 1991) (statement of Sen. Grassley) (emphasis added))); </w:t>
      </w:r>
      <w:hyperlink r:id="rId248" w:history="1">
        <w:r w:rsidR="00D75BF9">
          <w:rPr>
            <w:i/>
            <w:iCs/>
            <w:color w:val="0000FF"/>
            <w:u w:val="single"/>
          </w:rPr>
          <w:t>Boim v. Quranic Literacy Inst. and Holy Land Found. For Relief And Dev.</w:t>
        </w:r>
      </w:hyperlink>
      <w:hyperlink r:id="rId249" w:history="1">
        <w:r w:rsidR="00D75BF9">
          <w:rPr>
            <w:color w:val="0000FF"/>
            <w:u w:val="single"/>
          </w:rPr>
          <w:t xml:space="preserve"> </w:t>
        </w:r>
        <w:proofErr w:type="gramStart"/>
        <w:r w:rsidR="00D75BF9">
          <w:rPr>
            <w:color w:val="0000FF"/>
            <w:u w:val="single"/>
          </w:rPr>
          <w:t>(“</w:t>
        </w:r>
      </w:hyperlink>
      <w:hyperlink r:id="rId250" w:history="1">
        <w:r w:rsidR="00D75BF9">
          <w:rPr>
            <w:i/>
            <w:iCs/>
            <w:color w:val="0000FF"/>
            <w:u w:val="single"/>
          </w:rPr>
          <w:t>Boim II</w:t>
        </w:r>
      </w:hyperlink>
      <w:hyperlink r:id="rId251" w:history="1">
        <w:r w:rsidR="00D75BF9">
          <w:rPr>
            <w:color w:val="0000FF"/>
            <w:u w:val="single"/>
          </w:rPr>
          <w:t xml:space="preserve"> ”), 291 F.3d 1000, 1009-11 (7th Cir.2002)</w:t>
        </w:r>
      </w:hyperlink>
      <w:r w:rsidR="00D75BF9">
        <w:rPr>
          <w:color w:val="000000"/>
        </w:rPr>
        <w:t xml:space="preserve"> (summarizing legislative history).</w:t>
      </w:r>
      <w:proofErr w:type="gramEnd"/>
    </w:p>
    <w:p w14:paraId="2F7BA515" w14:textId="77777777" w:rsidR="003C7122" w:rsidRDefault="003C7122">
      <w:pPr>
        <w:widowControl w:val="0"/>
        <w:autoSpaceDE w:val="0"/>
        <w:autoSpaceDN w:val="0"/>
        <w:adjustRightInd w:val="0"/>
        <w:rPr>
          <w:color w:val="000000"/>
          <w:sz w:val="24"/>
          <w:szCs w:val="24"/>
        </w:rPr>
      </w:pPr>
    </w:p>
    <w:p w14:paraId="3578EA53"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As originally drafted, the ATA's FNC provision lacked any reference to the similarity of remedies offered by a foreign forum. </w:t>
      </w:r>
      <w:r>
        <w:rPr>
          <w:i/>
          <w:iCs/>
          <w:color w:val="000000"/>
        </w:rPr>
        <w:t>See</w:t>
      </w:r>
      <w:r>
        <w:rPr>
          <w:color w:val="000000"/>
        </w:rPr>
        <w:t xml:space="preserve"> S. 2465, 101st Cong. (1990). However, during the Senate hearing on the ATA bill, Georgetown University Law Professor Wendy Perdue addressed the issue of FNC dismissal, noting that the less generous awards available in foreign forums was a subject of concern:</w:t>
      </w:r>
    </w:p>
    <w:p w14:paraId="7AC247DE" w14:textId="77777777" w:rsidR="003C7122" w:rsidRDefault="003C7122">
      <w:pPr>
        <w:widowControl w:val="0"/>
        <w:autoSpaceDE w:val="0"/>
        <w:autoSpaceDN w:val="0"/>
        <w:adjustRightInd w:val="0"/>
        <w:rPr>
          <w:color w:val="000000"/>
          <w:sz w:val="24"/>
          <w:szCs w:val="24"/>
        </w:rPr>
      </w:pPr>
    </w:p>
    <w:p w14:paraId="0A4C0810" w14:textId="77777777" w:rsidR="003C7122" w:rsidRDefault="00D75BF9">
      <w:pPr>
        <w:widowControl w:val="0"/>
        <w:autoSpaceDE w:val="0"/>
        <w:autoSpaceDN w:val="0"/>
        <w:adjustRightInd w:val="0"/>
        <w:ind w:left="180"/>
        <w:jc w:val="both"/>
        <w:rPr>
          <w:color w:val="000000"/>
          <w:sz w:val="24"/>
          <w:szCs w:val="24"/>
        </w:rPr>
      </w:pPr>
      <w:r>
        <w:rPr>
          <w:color w:val="000000"/>
        </w:rPr>
        <w:t xml:space="preserve">The possibility of a forum </w:t>
      </w:r>
      <w:proofErr w:type="gramStart"/>
      <w:r>
        <w:rPr>
          <w:color w:val="000000"/>
        </w:rPr>
        <w:t>non conveniens</w:t>
      </w:r>
      <w:proofErr w:type="gramEnd"/>
      <w:r>
        <w:rPr>
          <w:color w:val="000000"/>
        </w:rPr>
        <w:t xml:space="preserve"> dismissal is likely to be of great concern to plaintiffs. An award of civil damages by any other nation will almost certainly be substantially less generous than contemplated here because the other </w:t>
      </w:r>
      <w:proofErr w:type="gramStart"/>
      <w:r>
        <w:rPr>
          <w:color w:val="000000"/>
        </w:rPr>
        <w:t>country will</w:t>
      </w:r>
      <w:proofErr w:type="gramEnd"/>
      <w:r>
        <w:rPr>
          <w:color w:val="000000"/>
        </w:rPr>
        <w:t xml:space="preserve"> most likely award less in compensation and not treble the amount. The </w:t>
      </w:r>
      <w:hyperlink r:id="rId252" w:history="1">
        <w:r>
          <w:rPr>
            <w:i/>
            <w:iCs/>
            <w:color w:val="0000FF"/>
            <w:u w:val="single"/>
          </w:rPr>
          <w:t>Piper Aircraft</w:t>
        </w:r>
      </w:hyperlink>
      <w:r>
        <w:rPr>
          <w:color w:val="000000"/>
        </w:rPr>
        <w:t xml:space="preserve"> </w:t>
      </w:r>
      <w:proofErr w:type="gramStart"/>
      <w:r>
        <w:rPr>
          <w:color w:val="000000"/>
        </w:rPr>
        <w:t xml:space="preserve">case [ </w:t>
      </w:r>
      <w:proofErr w:type="gramEnd"/>
      <w:r w:rsidR="00D948DA">
        <w:fldChar w:fldCharType="begin"/>
      </w:r>
      <w:r w:rsidR="00D948DA">
        <w:instrText xml:space="preserve"> HYPERLINK "http://www.westlaw.com/Find/Default.wl?rs=dfa1.0&amp;vr=2.0&amp;DB=708&amp;FindType=Y&amp;ReferencePositionType=S&amp;SerialNum=1981151372&amp;ReferencePosition=262" </w:instrText>
      </w:r>
      <w:r w:rsidR="00D948DA">
        <w:fldChar w:fldCharType="separate"/>
      </w:r>
      <w:r>
        <w:rPr>
          <w:i/>
          <w:iCs/>
          <w:color w:val="0000FF"/>
          <w:u w:val="single"/>
        </w:rPr>
        <w:t>Piper Aircraft Co. v. Reyno,</w:t>
      </w:r>
      <w:r w:rsidR="00D948DA">
        <w:rPr>
          <w:i/>
          <w:iCs/>
          <w:color w:val="0000FF"/>
          <w:u w:val="single"/>
        </w:rPr>
        <w:fldChar w:fldCharType="end"/>
      </w:r>
      <w:hyperlink r:id="rId253" w:history="1">
        <w:r>
          <w:rPr>
            <w:color w:val="0000FF"/>
            <w:u w:val="single"/>
          </w:rPr>
          <w:t xml:space="preserve"> 454 U.S. 235, 249, 102 S.Ct. 252, 262, 70 L.Ed.2d 419 (1981)</w:t>
        </w:r>
      </w:hyperlink>
      <w:r>
        <w:rPr>
          <w:color w:val="000000"/>
        </w:rPr>
        <w:t xml:space="preserve"> ] suggests that the fact that the alternative forum will apply a substantially less favorable law ought not be an important factor in deciding whether to dismiss. If it is your intent to assure victims substantial compensation, you might add language which makes clear that the fact that a plaintiff will likely recover substantially less in the alternative forum is an i</w:t>
      </w:r>
      <w:r>
        <w:rPr>
          <w:color w:val="000000"/>
        </w:rPr>
        <w:t>m</w:t>
      </w:r>
      <w:r>
        <w:rPr>
          <w:color w:val="000000"/>
        </w:rPr>
        <w:t>portant factor to be weighed in deciding whether to dismiss the case.</w:t>
      </w:r>
    </w:p>
    <w:p w14:paraId="21DDFD65" w14:textId="77777777" w:rsidR="003C7122" w:rsidRDefault="003C7122">
      <w:pPr>
        <w:widowControl w:val="0"/>
        <w:autoSpaceDE w:val="0"/>
        <w:autoSpaceDN w:val="0"/>
        <w:adjustRightInd w:val="0"/>
        <w:rPr>
          <w:color w:val="000000"/>
          <w:sz w:val="24"/>
          <w:szCs w:val="24"/>
        </w:rPr>
      </w:pPr>
    </w:p>
    <w:p w14:paraId="5C4ECC4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Hearing Before the Subcomm. </w:t>
      </w:r>
      <w:proofErr w:type="gramStart"/>
      <w:r>
        <w:rPr>
          <w:color w:val="000000"/>
        </w:rPr>
        <w:t>on</w:t>
      </w:r>
      <w:proofErr w:type="gramEnd"/>
      <w:r>
        <w:rPr>
          <w:color w:val="000000"/>
        </w:rPr>
        <w:t xml:space="preserve"> Courts and Admin. Prac. </w:t>
      </w:r>
      <w:proofErr w:type="gramStart"/>
      <w:r>
        <w:rPr>
          <w:color w:val="000000"/>
        </w:rPr>
        <w:t>of</w:t>
      </w:r>
      <w:proofErr w:type="gramEnd"/>
      <w:r>
        <w:rPr>
          <w:color w:val="000000"/>
        </w:rPr>
        <w:t xml:space="preserve"> the S. Comm. on Judiciary, at 130-31 (1990) (statement of Wendy Perdue, Professor of Law). That the statute was ultimately amended to prohibit dismissal on FNC grounds unless a foreign court offered a remedy which was “substantially the same” reflects Congress' concern that the purpose of the statute would be undermined if defendants could easily secure FNC dismissal to avoid the generous damage provisions that would be available in the United States. In light of that statutory history, there can be no question that Congress intended in </w:t>
      </w:r>
      <w:hyperlink r:id="rId254" w:history="1">
        <w:r>
          <w:rPr>
            <w:color w:val="0000FF"/>
            <w:u w:val="single"/>
          </w:rPr>
          <w:t>18 U.S.C. § 2334(d)(3)</w:t>
        </w:r>
      </w:hyperlink>
      <w:r>
        <w:rPr>
          <w:color w:val="000000"/>
        </w:rPr>
        <w:t xml:space="preserve"> to impose a higher burden to FNC dismissal than that present in the traditional FNC analysis. While courts have not yet fully delineated the precise contours of how similar a foreign forum's remedies would have to be to satisfy </w:t>
      </w:r>
      <w:hyperlink r:id="rId255" w:history="1">
        <w:r>
          <w:rPr>
            <w:color w:val="0000FF"/>
            <w:u w:val="single"/>
          </w:rPr>
          <w:t>section 2334(d)(3)</w:t>
        </w:r>
      </w:hyperlink>
      <w:r>
        <w:rPr>
          <w:color w:val="000000"/>
        </w:rPr>
        <w:t>, defendant UBS has not esta</w:t>
      </w:r>
      <w:r>
        <w:rPr>
          <w:color w:val="000000"/>
        </w:rPr>
        <w:t>b</w:t>
      </w:r>
      <w:r>
        <w:rPr>
          <w:color w:val="000000"/>
        </w:rPr>
        <w:t>lished that the facts of this case present a particularly difficult issue or that there is substantial doubt that the district court's order was correct. The declarations of both parties' experts indicate that Israeli law would provide no co</w:t>
      </w:r>
      <w:r>
        <w:rPr>
          <w:color w:val="000000"/>
        </w:rPr>
        <w:t>m</w:t>
      </w:r>
      <w:r>
        <w:rPr>
          <w:color w:val="000000"/>
        </w:rPr>
        <w:t>pensation for plaintiffs' alleged emotional injury,</w:t>
      </w:r>
      <w:hyperlink w:anchor="Document1zzB019192021482735" w:history="1">
        <w:r>
          <w:rPr>
            <w:color w:val="0000FF"/>
            <w:u w:val="single"/>
            <w:vertAlign w:val="superscript"/>
          </w:rPr>
          <w:t>FN19</w:t>
        </w:r>
      </w:hyperlink>
      <w:bookmarkStart w:id="54" w:name="Document1zzF019192021482735"/>
      <w:bookmarkEnd w:id="54"/>
      <w:r>
        <w:rPr>
          <w:color w:val="000000"/>
        </w:rPr>
        <w:t xml:space="preserve"> a component of damages </w:t>
      </w:r>
      <w:proofErr w:type="gramStart"/>
      <w:r>
        <w:rPr>
          <w:color w:val="000000"/>
        </w:rPr>
        <w:t>which</w:t>
      </w:r>
      <w:proofErr w:type="gramEnd"/>
      <w:r>
        <w:rPr>
          <w:color w:val="000000"/>
        </w:rPr>
        <w:t xml:space="preserve"> routinely accounts for the greater part of any recovery by plaintiffs in cases filed under the ATA. </w:t>
      </w:r>
      <w:r>
        <w:rPr>
          <w:i/>
          <w:iCs/>
          <w:color w:val="000000"/>
        </w:rPr>
        <w:t xml:space="preserve">See, e.g., </w:t>
      </w:r>
      <w:hyperlink r:id="rId256" w:history="1">
        <w:r>
          <w:rPr>
            <w:i/>
            <w:iCs/>
            <w:color w:val="0000FF"/>
            <w:u w:val="single"/>
          </w:rPr>
          <w:t>Knox v. Palestine Liberation O</w:t>
        </w:r>
        <w:r>
          <w:rPr>
            <w:i/>
            <w:iCs/>
            <w:color w:val="0000FF"/>
            <w:u w:val="single"/>
          </w:rPr>
          <w:t>r</w:t>
        </w:r>
        <w:r>
          <w:rPr>
            <w:i/>
            <w:iCs/>
            <w:color w:val="0000FF"/>
            <w:u w:val="single"/>
          </w:rPr>
          <w:t>ganization,</w:t>
        </w:r>
      </w:hyperlink>
      <w:hyperlink r:id="rId257" w:history="1">
        <w:r>
          <w:rPr>
            <w:color w:val="0000FF"/>
            <w:u w:val="single"/>
          </w:rPr>
          <w:t xml:space="preserve"> 442 F.Supp.2d 62 (S.D.N.Y.2006)</w:t>
        </w:r>
      </w:hyperlink>
      <w:r>
        <w:rPr>
          <w:color w:val="000000"/>
        </w:rPr>
        <w:t xml:space="preserve">; </w:t>
      </w:r>
      <w:hyperlink r:id="rId258" w:history="1">
        <w:r>
          <w:rPr>
            <w:i/>
            <w:iCs/>
            <w:color w:val="0000FF"/>
            <w:u w:val="single"/>
          </w:rPr>
          <w:t>Morris v. Khadr,</w:t>
        </w:r>
      </w:hyperlink>
      <w:hyperlink r:id="rId259" w:history="1">
        <w:r>
          <w:rPr>
            <w:color w:val="0000FF"/>
            <w:u w:val="single"/>
          </w:rPr>
          <w:t xml:space="preserve"> 415 F.Supp.2d 1323 (D.Utah 2006)</w:t>
        </w:r>
      </w:hyperlink>
      <w:r>
        <w:rPr>
          <w:color w:val="000000"/>
        </w:rPr>
        <w:t xml:space="preserve">; </w:t>
      </w:r>
      <w:hyperlink r:id="rId260" w:history="1">
        <w:r>
          <w:rPr>
            <w:i/>
            <w:iCs/>
            <w:color w:val="0000FF"/>
            <w:u w:val="single"/>
          </w:rPr>
          <w:t>Estates of U</w:t>
        </w:r>
        <w:r>
          <w:rPr>
            <w:i/>
            <w:iCs/>
            <w:color w:val="0000FF"/>
            <w:u w:val="single"/>
          </w:rPr>
          <w:t>n</w:t>
        </w:r>
        <w:r>
          <w:rPr>
            <w:i/>
            <w:iCs/>
            <w:color w:val="0000FF"/>
            <w:u w:val="single"/>
          </w:rPr>
          <w:t>gar ex rel. Strachman v. Palestinian Authority,</w:t>
        </w:r>
      </w:hyperlink>
      <w:hyperlink r:id="rId261" w:history="1">
        <w:r>
          <w:rPr>
            <w:color w:val="0000FF"/>
            <w:u w:val="single"/>
          </w:rPr>
          <w:t xml:space="preserve"> 304 F.Supp.2d 232 (D.R.I.2004)</w:t>
        </w:r>
      </w:hyperlink>
      <w:r>
        <w:rPr>
          <w:color w:val="000000"/>
        </w:rPr>
        <w:t>. Accordingly, because under any plausible interpretation of the statute the remedies offered by an Israeli forum are not “substantially the same” as those available in a court of the United States, certification is not warranted with respect to the meaning of that phrase.</w:t>
      </w:r>
    </w:p>
    <w:p w14:paraId="55FFAFA9" w14:textId="77777777" w:rsidR="003C7122" w:rsidRDefault="003C7122">
      <w:pPr>
        <w:widowControl w:val="0"/>
        <w:autoSpaceDE w:val="0"/>
        <w:autoSpaceDN w:val="0"/>
        <w:adjustRightInd w:val="0"/>
        <w:rPr>
          <w:color w:val="000000"/>
          <w:sz w:val="24"/>
          <w:szCs w:val="24"/>
        </w:rPr>
      </w:pPr>
    </w:p>
    <w:p w14:paraId="4D02C780" w14:textId="77777777" w:rsidR="003C7122" w:rsidRDefault="00D24980">
      <w:pPr>
        <w:widowControl w:val="0"/>
        <w:autoSpaceDE w:val="0"/>
        <w:autoSpaceDN w:val="0"/>
        <w:adjustRightInd w:val="0"/>
        <w:ind w:left="720"/>
        <w:jc w:val="both"/>
        <w:rPr>
          <w:color w:val="000000"/>
          <w:sz w:val="24"/>
          <w:szCs w:val="24"/>
        </w:rPr>
      </w:pPr>
      <w:hyperlink w:anchor="Document1zzF019192021482735" w:history="1">
        <w:r w:rsidR="00D75BF9">
          <w:rPr>
            <w:color w:val="0000FF"/>
            <w:u w:val="single"/>
          </w:rPr>
          <w:t>FN19.</w:t>
        </w:r>
      </w:hyperlink>
      <w:bookmarkStart w:id="55" w:name="Document1zzB019192021482735"/>
      <w:bookmarkEnd w:id="55"/>
      <w:r w:rsidR="00D75BF9">
        <w:rPr>
          <w:color w:val="000000"/>
        </w:rPr>
        <w:t xml:space="preserve"> As discussed in Section I, </w:t>
      </w:r>
      <w:r w:rsidR="00D75BF9">
        <w:rPr>
          <w:i/>
          <w:iCs/>
          <w:color w:val="000000"/>
        </w:rPr>
        <w:t>supra,</w:t>
      </w:r>
      <w:r w:rsidR="00D75BF9">
        <w:rPr>
          <w:color w:val="000000"/>
        </w:rPr>
        <w:t xml:space="preserve"> it is not clear that a stipulation would eliminate this difference.</w:t>
      </w:r>
    </w:p>
    <w:p w14:paraId="7EAC62EC" w14:textId="77777777" w:rsidR="003C7122" w:rsidRDefault="003C7122">
      <w:pPr>
        <w:widowControl w:val="0"/>
        <w:autoSpaceDE w:val="0"/>
        <w:autoSpaceDN w:val="0"/>
        <w:adjustRightInd w:val="0"/>
        <w:rPr>
          <w:color w:val="000000"/>
          <w:sz w:val="24"/>
          <w:szCs w:val="24"/>
        </w:rPr>
      </w:pPr>
    </w:p>
    <w:p w14:paraId="365BE761" w14:textId="77777777" w:rsidR="003C7122" w:rsidRDefault="00D75BF9">
      <w:pPr>
        <w:widowControl w:val="0"/>
        <w:autoSpaceDE w:val="0"/>
        <w:autoSpaceDN w:val="0"/>
        <w:adjustRightInd w:val="0"/>
        <w:jc w:val="both"/>
        <w:rPr>
          <w:color w:val="000000"/>
          <w:sz w:val="24"/>
          <w:szCs w:val="24"/>
        </w:rPr>
      </w:pPr>
      <w:r>
        <w:rPr>
          <w:b/>
          <w:bCs/>
          <w:color w:val="000000"/>
        </w:rPr>
        <w:t xml:space="preserve">c. Constitutionality of Applying the ATA to UBS's Alleged </w:t>
      </w:r>
      <w:proofErr w:type="gramStart"/>
      <w:r>
        <w:rPr>
          <w:b/>
          <w:bCs/>
          <w:color w:val="000000"/>
        </w:rPr>
        <w:t>Off-Shore</w:t>
      </w:r>
      <w:proofErr w:type="gramEnd"/>
      <w:r>
        <w:rPr>
          <w:b/>
          <w:bCs/>
          <w:color w:val="000000"/>
        </w:rPr>
        <w:t xml:space="preserve"> Conduct</w:t>
      </w:r>
    </w:p>
    <w:p w14:paraId="7EC84096" w14:textId="77777777" w:rsidR="003C7122" w:rsidRDefault="00D75BF9">
      <w:pPr>
        <w:widowControl w:val="0"/>
        <w:autoSpaceDE w:val="0"/>
        <w:autoSpaceDN w:val="0"/>
        <w:adjustRightInd w:val="0"/>
        <w:ind w:firstLine="360"/>
        <w:jc w:val="both"/>
        <w:rPr>
          <w:color w:val="000000"/>
          <w:sz w:val="24"/>
          <w:szCs w:val="24"/>
        </w:rPr>
      </w:pPr>
      <w:r>
        <w:rPr>
          <w:color w:val="000000"/>
        </w:rPr>
        <w:t>Defendant contends that certification is warranted in order to allow the Second Circuit to resolve whether there exists a sufficient nexus between UBS's alleged offshore conduct and the United States to permit the ATA to be constitutionally applied to the defendant.</w:t>
      </w:r>
    </w:p>
    <w:p w14:paraId="6362BE37" w14:textId="77777777" w:rsidR="003C7122" w:rsidRDefault="003C7122">
      <w:pPr>
        <w:widowControl w:val="0"/>
        <w:autoSpaceDE w:val="0"/>
        <w:autoSpaceDN w:val="0"/>
        <w:adjustRightInd w:val="0"/>
        <w:rPr>
          <w:color w:val="000000"/>
          <w:sz w:val="24"/>
          <w:szCs w:val="24"/>
        </w:rPr>
      </w:pPr>
    </w:p>
    <w:p w14:paraId="5E282A68" w14:textId="77777777" w:rsidR="003C7122" w:rsidRDefault="00D24980">
      <w:pPr>
        <w:widowControl w:val="0"/>
        <w:autoSpaceDE w:val="0"/>
        <w:autoSpaceDN w:val="0"/>
        <w:adjustRightInd w:val="0"/>
        <w:ind w:firstLine="360"/>
        <w:jc w:val="both"/>
        <w:rPr>
          <w:color w:val="000000"/>
          <w:sz w:val="24"/>
          <w:szCs w:val="24"/>
        </w:rPr>
      </w:pPr>
      <w:hyperlink w:anchor="Document1zzF42021482735" w:history="1">
        <w:r w:rsidR="00D75BF9">
          <w:rPr>
            <w:color w:val="0000FF"/>
            <w:u w:val="single"/>
          </w:rPr>
          <w:t>[4]</w:t>
        </w:r>
      </w:hyperlink>
      <w:bookmarkStart w:id="56" w:name="Document1zzB42021482735"/>
      <w:bookmarkEnd w:id="56"/>
      <w:r w:rsidR="00D75BF9">
        <w:rPr>
          <w:color w:val="000000"/>
        </w:rPr>
        <w:t xml:space="preserve"> In the criminal context, the Due Process Clause of the Fifth Amendment limits Congress's power to regulate foreign entities' conduct outside of the United to circumstances where there is a “sufficient nexus” between the co</w:t>
      </w:r>
      <w:r w:rsidR="00D75BF9">
        <w:rPr>
          <w:color w:val="000000"/>
        </w:rPr>
        <w:t>n</w:t>
      </w:r>
      <w:r w:rsidR="00D75BF9">
        <w:rPr>
          <w:color w:val="000000"/>
        </w:rPr>
        <w:t xml:space="preserve">duct and the United States' interest so that applying U.S. law “would not be arbitrary or fundamentally unfair.” </w:t>
      </w:r>
      <w:hyperlink r:id="rId262" w:history="1">
        <w:proofErr w:type="gramStart"/>
        <w:r w:rsidR="00D75BF9">
          <w:rPr>
            <w:i/>
            <w:iCs/>
            <w:color w:val="0000FF"/>
            <w:u w:val="single"/>
          </w:rPr>
          <w:t>U.S. v. Yousef,</w:t>
        </w:r>
      </w:hyperlink>
      <w:hyperlink r:id="rId263" w:history="1">
        <w:r w:rsidR="00D75BF9">
          <w:rPr>
            <w:color w:val="0000FF"/>
            <w:u w:val="single"/>
          </w:rPr>
          <w:t xml:space="preserve"> 327 F.3d 56, 111 (2d Cir.2003)</w:t>
        </w:r>
      </w:hyperlink>
      <w:r w:rsidR="00D75BF9">
        <w:rPr>
          <w:color w:val="000000"/>
        </w:rPr>
        <w:t>.</w:t>
      </w:r>
      <w:proofErr w:type="gramEnd"/>
      <w:r w:rsidR="00D75BF9">
        <w:rPr>
          <w:color w:val="000000"/>
        </w:rPr>
        <w:t xml:space="preserve"> Even assuming that an equally stringent standard applies in a non-criminal case,</w:t>
      </w:r>
      <w:hyperlink w:anchor="Document1zzB020202021482735" w:history="1">
        <w:r w:rsidR="00D75BF9">
          <w:rPr>
            <w:color w:val="0000FF"/>
            <w:u w:val="single"/>
            <w:vertAlign w:val="superscript"/>
          </w:rPr>
          <w:t>FN20</w:t>
        </w:r>
      </w:hyperlink>
      <w:bookmarkStart w:id="57" w:name="Document1zzF020202021482735"/>
      <w:bookmarkEnd w:id="57"/>
      <w:r w:rsidR="00D75BF9">
        <w:rPr>
          <w:color w:val="000000"/>
        </w:rPr>
        <w:t xml:space="preserve"> certification is not warranted because defendant has not established that the issue is one on which there is a substantial ground for difference of opinion, and because the issue is not a pure question of law.</w:t>
      </w:r>
    </w:p>
    <w:p w14:paraId="45EFBD3C" w14:textId="77777777" w:rsidR="003C7122" w:rsidRDefault="003C7122">
      <w:pPr>
        <w:widowControl w:val="0"/>
        <w:autoSpaceDE w:val="0"/>
        <w:autoSpaceDN w:val="0"/>
        <w:adjustRightInd w:val="0"/>
        <w:rPr>
          <w:color w:val="000000"/>
          <w:sz w:val="24"/>
          <w:szCs w:val="24"/>
        </w:rPr>
      </w:pPr>
    </w:p>
    <w:p w14:paraId="193B7E64" w14:textId="77777777" w:rsidR="003C7122" w:rsidRDefault="00D24980">
      <w:pPr>
        <w:widowControl w:val="0"/>
        <w:autoSpaceDE w:val="0"/>
        <w:autoSpaceDN w:val="0"/>
        <w:adjustRightInd w:val="0"/>
        <w:ind w:left="720"/>
        <w:jc w:val="both"/>
        <w:rPr>
          <w:color w:val="000000"/>
          <w:sz w:val="24"/>
          <w:szCs w:val="24"/>
        </w:rPr>
      </w:pPr>
      <w:hyperlink w:anchor="Document1zzF020202021482735" w:history="1">
        <w:r w:rsidR="00D75BF9">
          <w:rPr>
            <w:color w:val="0000FF"/>
            <w:u w:val="single"/>
          </w:rPr>
          <w:t>FN20.</w:t>
        </w:r>
      </w:hyperlink>
      <w:bookmarkStart w:id="58" w:name="Document1zzB020202021482735"/>
      <w:bookmarkEnd w:id="58"/>
      <w:r w:rsidR="00D75BF9">
        <w:rPr>
          <w:color w:val="000000"/>
        </w:rPr>
        <w:t xml:space="preserve"> The parties do not dispute that the Due Process clause applies to foreign corporations such as UBS. </w:t>
      </w:r>
      <w:r w:rsidR="00D75BF9">
        <w:rPr>
          <w:i/>
          <w:iCs/>
          <w:color w:val="000000"/>
        </w:rPr>
        <w:t xml:space="preserve">See </w:t>
      </w:r>
      <w:hyperlink r:id="rId264" w:history="1">
        <w:r w:rsidR="00D75BF9">
          <w:rPr>
            <w:i/>
            <w:iCs/>
            <w:color w:val="0000FF"/>
            <w:u w:val="single"/>
          </w:rPr>
          <w:t>Helicopteros Nacionales de Colombia, S.A. v. Hall,</w:t>
        </w:r>
      </w:hyperlink>
      <w:hyperlink r:id="rId265" w:history="1">
        <w:r w:rsidR="00D75BF9">
          <w:rPr>
            <w:color w:val="0000FF"/>
            <w:u w:val="single"/>
          </w:rPr>
          <w:t xml:space="preserve"> 466 U.S. 408, 104 S.Ct. 1868, 1872, 80 L.Ed.2d 404 (1984)</w:t>
        </w:r>
      </w:hyperlink>
      <w:r w:rsidR="00D75BF9">
        <w:rPr>
          <w:color w:val="000000"/>
        </w:rPr>
        <w:t xml:space="preserve">. In contrast, the Second Circuit has held that the Due Process clause provides no protection to foreign states. </w:t>
      </w:r>
      <w:r w:rsidR="00D75BF9">
        <w:rPr>
          <w:i/>
          <w:iCs/>
          <w:color w:val="000000"/>
        </w:rPr>
        <w:t xml:space="preserve">See </w:t>
      </w:r>
      <w:hyperlink r:id="rId266" w:history="1">
        <w:r w:rsidR="00D75BF9">
          <w:rPr>
            <w:i/>
            <w:iCs/>
            <w:color w:val="0000FF"/>
            <w:u w:val="single"/>
          </w:rPr>
          <w:t>Frontera Resources Azerbaijan Corp. v. State Oil Co. of Azerbaijan Republic,</w:t>
        </w:r>
      </w:hyperlink>
      <w:hyperlink r:id="rId267" w:history="1">
        <w:r w:rsidR="00D75BF9">
          <w:rPr>
            <w:color w:val="0000FF"/>
            <w:u w:val="single"/>
          </w:rPr>
          <w:t xml:space="preserve"> 582 F.3d 393 (2d Cir.2009)</w:t>
        </w:r>
      </w:hyperlink>
      <w:r w:rsidR="00D75BF9">
        <w:rPr>
          <w:color w:val="000000"/>
        </w:rPr>
        <w:t xml:space="preserve"> (holding that foreign state is not a “person” for purposes of Due Process Clause).</w:t>
      </w:r>
    </w:p>
    <w:p w14:paraId="1A6C82C5" w14:textId="77777777" w:rsidR="003C7122" w:rsidRDefault="003C7122">
      <w:pPr>
        <w:widowControl w:val="0"/>
        <w:autoSpaceDE w:val="0"/>
        <w:autoSpaceDN w:val="0"/>
        <w:adjustRightInd w:val="0"/>
        <w:rPr>
          <w:color w:val="000000"/>
          <w:sz w:val="24"/>
          <w:szCs w:val="24"/>
        </w:rPr>
      </w:pPr>
    </w:p>
    <w:p w14:paraId="4FE17B22"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In determining whether a sufficient nexus exists, courts may properly consider, </w:t>
      </w:r>
      <w:r>
        <w:rPr>
          <w:i/>
          <w:iCs/>
          <w:color w:val="000000"/>
        </w:rPr>
        <w:t>inter alia,</w:t>
      </w:r>
      <w:r>
        <w:rPr>
          <w:color w:val="000000"/>
        </w:rPr>
        <w:t xml:space="preserve"> the defendant's cit</w:t>
      </w:r>
      <w:r>
        <w:rPr>
          <w:color w:val="000000"/>
        </w:rPr>
        <w:t>i</w:t>
      </w:r>
      <w:r>
        <w:rPr>
          <w:color w:val="000000"/>
        </w:rPr>
        <w:t>zenship or residency, the location of the acts allegedly giving rise to the suit and whether those acts could be e</w:t>
      </w:r>
      <w:r>
        <w:rPr>
          <w:color w:val="000000"/>
        </w:rPr>
        <w:t>x</w:t>
      </w:r>
      <w:r>
        <w:rPr>
          <w:color w:val="000000"/>
        </w:rPr>
        <w:t xml:space="preserve">pected to or did produce an effect in the United States. </w:t>
      </w:r>
      <w:r>
        <w:rPr>
          <w:i/>
          <w:iCs/>
          <w:color w:val="000000"/>
        </w:rPr>
        <w:t xml:space="preserve">See, e.g., </w:t>
      </w:r>
      <w:hyperlink r:id="rId268" w:history="1">
        <w:r>
          <w:rPr>
            <w:i/>
            <w:iCs/>
            <w:color w:val="0000FF"/>
            <w:u w:val="single"/>
          </w:rPr>
          <w:t>U.S. v. Sisal Sales Corp.,</w:t>
        </w:r>
      </w:hyperlink>
      <w:hyperlink r:id="rId269" w:history="1">
        <w:r>
          <w:rPr>
            <w:color w:val="0000FF"/>
            <w:u w:val="single"/>
          </w:rPr>
          <w:t xml:space="preserve"> 274 U.S. 268, 275, 47 S.Ct. 592, 594, 71 L.Ed. 1042 (1927)</w:t>
        </w:r>
      </w:hyperlink>
      <w:r>
        <w:rPr>
          <w:color w:val="000000"/>
        </w:rPr>
        <w:t xml:space="preserve"> (“... by their own deliberate acts, here and elsewhere, [defendants] brought about forbidden results within the United States. They are within the jurisdiction of our courts and may be punished for offenses against our laws.”); </w:t>
      </w:r>
      <w:hyperlink r:id="rId270" w:history="1">
        <w:r>
          <w:rPr>
            <w:i/>
            <w:iCs/>
            <w:color w:val="0000FF"/>
            <w:u w:val="single"/>
          </w:rPr>
          <w:t>U.S. v. Al Kassar,</w:t>
        </w:r>
      </w:hyperlink>
      <w:hyperlink r:id="rId271" w:history="1">
        <w:r>
          <w:rPr>
            <w:color w:val="0000FF"/>
            <w:u w:val="single"/>
          </w:rPr>
          <w:t xml:space="preserve"> 582 F.Supp.2d 488, 494 (S.D.N.Y.2008)</w:t>
        </w:r>
      </w:hyperlink>
      <w:r>
        <w:rPr>
          <w:color w:val="000000"/>
        </w:rPr>
        <w:t xml:space="preserve"> (holding nexus requir</w:t>
      </w:r>
      <w:r>
        <w:rPr>
          <w:color w:val="000000"/>
        </w:rPr>
        <w:t>e</w:t>
      </w:r>
      <w:r>
        <w:rPr>
          <w:color w:val="000000"/>
        </w:rPr>
        <w:t xml:space="preserve">ment satisfied by complaint's allegations of plot to kill United States nationals residing in Colombia); </w:t>
      </w:r>
      <w:hyperlink r:id="rId272" w:history="1">
        <w:r>
          <w:rPr>
            <w:i/>
            <w:iCs/>
            <w:color w:val="0000FF"/>
            <w:u w:val="single"/>
          </w:rPr>
          <w:t>U.S. v. Clark,</w:t>
        </w:r>
      </w:hyperlink>
      <w:hyperlink r:id="rId273" w:history="1">
        <w:r>
          <w:rPr>
            <w:color w:val="0000FF"/>
            <w:u w:val="single"/>
          </w:rPr>
          <w:t xml:space="preserve"> 315 F.Supp.2d 1127 (W.D.Wash.2004)</w:t>
        </w:r>
      </w:hyperlink>
      <w:r>
        <w:rPr>
          <w:color w:val="000000"/>
        </w:rPr>
        <w:t xml:space="preserve"> (holding sufficient nexus exists to prosecute crime by U.S. citizen or res</w:t>
      </w:r>
      <w:r>
        <w:rPr>
          <w:color w:val="000000"/>
        </w:rPr>
        <w:t>i</w:t>
      </w:r>
      <w:r>
        <w:rPr>
          <w:color w:val="000000"/>
        </w:rPr>
        <w:t xml:space="preserve">dent alien committed abroad against foreign victim). In determining whether Due Process is satisfied, courts may also consider principles of international law. </w:t>
      </w:r>
      <w:r>
        <w:rPr>
          <w:i/>
          <w:iCs/>
          <w:color w:val="000000"/>
        </w:rPr>
        <w:t xml:space="preserve">See </w:t>
      </w:r>
      <w:hyperlink r:id="rId274" w:history="1">
        <w:r>
          <w:rPr>
            <w:i/>
            <w:iCs/>
            <w:color w:val="0000FF"/>
            <w:u w:val="single"/>
          </w:rPr>
          <w:t>U.S. v. Davis,</w:t>
        </w:r>
      </w:hyperlink>
      <w:hyperlink r:id="rId275" w:history="1">
        <w:r>
          <w:rPr>
            <w:color w:val="0000FF"/>
            <w:u w:val="single"/>
          </w:rPr>
          <w:t xml:space="preserve"> 905 F.2d 245, 249 n. 2 (9th Cir.1990)</w:t>
        </w:r>
      </w:hyperlink>
      <w:r>
        <w:rPr>
          <w:color w:val="000000"/>
        </w:rPr>
        <w:t xml:space="preserve">; </w:t>
      </w:r>
      <w:r>
        <w:rPr>
          <w:i/>
          <w:iCs/>
          <w:color w:val="000000"/>
        </w:rPr>
        <w:t xml:space="preserve">see also </w:t>
      </w:r>
      <w:hyperlink r:id="rId276" w:history="1">
        <w:r>
          <w:rPr>
            <w:i/>
            <w:iCs/>
            <w:color w:val="0000FF"/>
            <w:u w:val="single"/>
          </w:rPr>
          <w:t>U.S. v. Cardales,</w:t>
        </w:r>
      </w:hyperlink>
      <w:hyperlink r:id="rId277" w:history="1">
        <w:r>
          <w:rPr>
            <w:color w:val="0000FF"/>
            <w:u w:val="single"/>
          </w:rPr>
          <w:t xml:space="preserve"> 168 F.3d 548, 553 (1st Cir.1999)</w:t>
        </w:r>
      </w:hyperlink>
      <w:r>
        <w:rPr>
          <w:color w:val="000000"/>
        </w:rPr>
        <w:t xml:space="preserve"> (“In determining whether due process is satisfied, we are guided by principles of international law.”). The ultimate question is whether defendant's conduct is not “ ‘so unrelated to American interests as to render </w:t>
      </w:r>
      <w:proofErr w:type="gramStart"/>
      <w:r>
        <w:rPr>
          <w:color w:val="000000"/>
        </w:rPr>
        <w:t>their [being sued]</w:t>
      </w:r>
      <w:proofErr w:type="gramEnd"/>
      <w:r>
        <w:rPr>
          <w:color w:val="000000"/>
        </w:rPr>
        <w:t xml:space="preserve"> in the United States arbitrary or fundamentally unfair.’ ” </w:t>
      </w:r>
      <w:hyperlink r:id="rId278" w:history="1">
        <w:r>
          <w:rPr>
            <w:i/>
            <w:iCs/>
            <w:color w:val="0000FF"/>
            <w:u w:val="single"/>
          </w:rPr>
          <w:t>Gol</w:t>
        </w:r>
        <w:r>
          <w:rPr>
            <w:i/>
            <w:iCs/>
            <w:color w:val="0000FF"/>
            <w:u w:val="single"/>
          </w:rPr>
          <w:t>d</w:t>
        </w:r>
        <w:r>
          <w:rPr>
            <w:i/>
            <w:iCs/>
            <w:color w:val="0000FF"/>
            <w:u w:val="single"/>
          </w:rPr>
          <w:t>berg,</w:t>
        </w:r>
      </w:hyperlink>
      <w:hyperlink r:id="rId279" w:history="1">
        <w:r>
          <w:rPr>
            <w:color w:val="0000FF"/>
            <w:u w:val="single"/>
          </w:rPr>
          <w:t xml:space="preserve"> 660 F.Supp.2d at 431</w:t>
        </w:r>
      </w:hyperlink>
      <w:r>
        <w:rPr>
          <w:color w:val="000000"/>
        </w:rPr>
        <w:t xml:space="preserve"> (alteration in original) (quoting </w:t>
      </w:r>
      <w:hyperlink r:id="rId280" w:history="1">
        <w:r>
          <w:rPr>
            <w:i/>
            <w:iCs/>
            <w:color w:val="0000FF"/>
            <w:u w:val="single"/>
          </w:rPr>
          <w:t>Yousef,</w:t>
        </w:r>
      </w:hyperlink>
      <w:hyperlink r:id="rId281" w:history="1">
        <w:r>
          <w:rPr>
            <w:color w:val="0000FF"/>
            <w:u w:val="single"/>
          </w:rPr>
          <w:t xml:space="preserve"> 327 F.3d at 112).</w:t>
        </w:r>
      </w:hyperlink>
    </w:p>
    <w:p w14:paraId="183DB0B4" w14:textId="77777777" w:rsidR="003C7122" w:rsidRDefault="003C7122">
      <w:pPr>
        <w:widowControl w:val="0"/>
        <w:autoSpaceDE w:val="0"/>
        <w:autoSpaceDN w:val="0"/>
        <w:adjustRightInd w:val="0"/>
        <w:rPr>
          <w:color w:val="000000"/>
          <w:sz w:val="24"/>
          <w:szCs w:val="24"/>
        </w:rPr>
      </w:pPr>
    </w:p>
    <w:p w14:paraId="11B0ABB5" w14:textId="77777777" w:rsidR="003C7122" w:rsidRDefault="00D24980">
      <w:pPr>
        <w:widowControl w:val="0"/>
        <w:autoSpaceDE w:val="0"/>
        <w:autoSpaceDN w:val="0"/>
        <w:adjustRightInd w:val="0"/>
        <w:ind w:firstLine="360"/>
        <w:jc w:val="both"/>
        <w:rPr>
          <w:color w:val="000000"/>
          <w:sz w:val="24"/>
          <w:szCs w:val="24"/>
        </w:rPr>
      </w:pPr>
      <w:hyperlink w:anchor="Document1zzF52021482735" w:history="1">
        <w:r w:rsidR="00D75BF9">
          <w:rPr>
            <w:color w:val="0000FF"/>
            <w:u w:val="single"/>
          </w:rPr>
          <w:t>[5]</w:t>
        </w:r>
      </w:hyperlink>
      <w:bookmarkStart w:id="59" w:name="Document1zzB52021482735"/>
      <w:bookmarkEnd w:id="59"/>
      <w:r w:rsidR="00D75BF9">
        <w:rPr>
          <w:color w:val="000000"/>
        </w:rPr>
        <w:t xml:space="preserve"> In light of defendant UBS': (1) general contacts with the United States; (2) the United States' strong interest in combating terrorism; and (3) recognized principles of international law, defendant cannot show that there is a substantial reason to doubt the correctness of Judge Sifton's conclusion that defendant UBS' conduct is subject to the ATA, or to conclude that the question is a difficult issue of first impression warranting certification.</w:t>
      </w:r>
    </w:p>
    <w:p w14:paraId="41B7E8B7" w14:textId="77777777" w:rsidR="003C7122" w:rsidRDefault="003C7122">
      <w:pPr>
        <w:widowControl w:val="0"/>
        <w:autoSpaceDE w:val="0"/>
        <w:autoSpaceDN w:val="0"/>
        <w:adjustRightInd w:val="0"/>
        <w:rPr>
          <w:color w:val="000000"/>
          <w:sz w:val="24"/>
          <w:szCs w:val="24"/>
        </w:rPr>
      </w:pPr>
    </w:p>
    <w:p w14:paraId="47678388" w14:textId="77777777" w:rsidR="003C7122" w:rsidRDefault="00D75BF9">
      <w:pPr>
        <w:widowControl w:val="0"/>
        <w:autoSpaceDE w:val="0"/>
        <w:autoSpaceDN w:val="0"/>
        <w:adjustRightInd w:val="0"/>
        <w:jc w:val="both"/>
        <w:rPr>
          <w:color w:val="000000"/>
          <w:sz w:val="24"/>
          <w:szCs w:val="24"/>
        </w:rPr>
      </w:pPr>
      <w:r>
        <w:rPr>
          <w:b/>
          <w:bCs/>
          <w:color w:val="000000"/>
        </w:rPr>
        <w:t>i. General Contacts with the United States</w:t>
      </w:r>
    </w:p>
    <w:p w14:paraId="692DC415" w14:textId="77777777" w:rsidR="003C7122" w:rsidRDefault="00D75BF9">
      <w:pPr>
        <w:widowControl w:val="0"/>
        <w:autoSpaceDE w:val="0"/>
        <w:autoSpaceDN w:val="0"/>
        <w:adjustRightInd w:val="0"/>
        <w:ind w:firstLine="360"/>
        <w:jc w:val="both"/>
        <w:rPr>
          <w:color w:val="000000"/>
          <w:sz w:val="24"/>
          <w:szCs w:val="24"/>
        </w:rPr>
      </w:pPr>
      <w:r>
        <w:rPr>
          <w:color w:val="000000"/>
        </w:rPr>
        <w:t>“The nexus requirement serves the same purpose as the ‘minimum contacts' test in personal jurisdiction. It e</w:t>
      </w:r>
      <w:r>
        <w:rPr>
          <w:color w:val="000000"/>
        </w:rPr>
        <w:t>n</w:t>
      </w:r>
      <w:r>
        <w:rPr>
          <w:color w:val="000000"/>
        </w:rPr>
        <w:t>sures that a United States court will assert jurisdiction only over a defendant who ‘should reasonably anticipate b</w:t>
      </w:r>
      <w:r>
        <w:rPr>
          <w:color w:val="000000"/>
        </w:rPr>
        <w:t>e</w:t>
      </w:r>
      <w:r>
        <w:rPr>
          <w:color w:val="000000"/>
        </w:rPr>
        <w:t xml:space="preserve">ing haled into court’ in this country.” </w:t>
      </w:r>
      <w:hyperlink r:id="rId282" w:history="1">
        <w:r>
          <w:rPr>
            <w:i/>
            <w:iCs/>
            <w:color w:val="0000FF"/>
            <w:u w:val="single"/>
          </w:rPr>
          <w:t>Klimavicius-Viloria,</w:t>
        </w:r>
      </w:hyperlink>
      <w:hyperlink r:id="rId283" w:history="1">
        <w:r>
          <w:rPr>
            <w:color w:val="0000FF"/>
            <w:u w:val="single"/>
          </w:rPr>
          <w:t xml:space="preserve"> 144 F.3d at 1257</w:t>
        </w:r>
      </w:hyperlink>
      <w:r>
        <w:rPr>
          <w:color w:val="000000"/>
        </w:rPr>
        <w:t xml:space="preserve"> (citing </w:t>
      </w:r>
      <w:hyperlink r:id="rId284" w:history="1">
        <w:r>
          <w:rPr>
            <w:i/>
            <w:iCs/>
            <w:color w:val="0000FF"/>
            <w:u w:val="single"/>
          </w:rPr>
          <w:t>World-Wide Volkswagen Corp. v. Woodson,</w:t>
        </w:r>
      </w:hyperlink>
      <w:hyperlink r:id="rId285" w:history="1">
        <w:r>
          <w:rPr>
            <w:color w:val="0000FF"/>
            <w:u w:val="single"/>
          </w:rPr>
          <w:t xml:space="preserve"> 444 U.S. 286, 297, 100 S.Ct. 559, 62 L.Ed.2d 490 (1980)</w:t>
        </w:r>
      </w:hyperlink>
      <w:r>
        <w:rPr>
          <w:color w:val="000000"/>
        </w:rPr>
        <w:t xml:space="preserve">); </w:t>
      </w:r>
      <w:r>
        <w:rPr>
          <w:i/>
          <w:iCs/>
          <w:color w:val="000000"/>
        </w:rPr>
        <w:t xml:space="preserve">see also </w:t>
      </w:r>
      <w:hyperlink r:id="rId286" w:history="1">
        <w:r>
          <w:rPr>
            <w:i/>
            <w:iCs/>
            <w:color w:val="0000FF"/>
            <w:u w:val="single"/>
          </w:rPr>
          <w:t>U.S. v. Perlaza,</w:t>
        </w:r>
      </w:hyperlink>
      <w:hyperlink r:id="rId287" w:history="1">
        <w:r>
          <w:rPr>
            <w:color w:val="0000FF"/>
            <w:u w:val="single"/>
          </w:rPr>
          <w:t xml:space="preserve"> 439 F.3d 1149, 1168 (9th Cir.2006)</w:t>
        </w:r>
      </w:hyperlink>
      <w:r>
        <w:rPr>
          <w:color w:val="000000"/>
        </w:rPr>
        <w:t xml:space="preserve"> (“The nexus requirement is a judicial gloss applied to ensure that a defendant is not improperly haled before a court for trial.... [It] serves the same purpose as the minimum contacts test in personal jurisdiction.”) (</w:t>
      </w:r>
      <w:proofErr w:type="gramStart"/>
      <w:r>
        <w:rPr>
          <w:color w:val="000000"/>
        </w:rPr>
        <w:t>citation</w:t>
      </w:r>
      <w:proofErr w:type="gramEnd"/>
      <w:r>
        <w:rPr>
          <w:color w:val="000000"/>
        </w:rPr>
        <w:t xml:space="preserve"> omitted). While defendant correctly points out that the mere existence of personal jurisdiction will not a</w:t>
      </w:r>
      <w:r>
        <w:rPr>
          <w:color w:val="000000"/>
        </w:rPr>
        <w:t>l</w:t>
      </w:r>
      <w:r>
        <w:rPr>
          <w:color w:val="000000"/>
        </w:rPr>
        <w:t xml:space="preserve">ways satisfy the nexus requirement-for instance, personal jurisdiction may be obtained merely by serving defendants while he or she is passing through a state </w:t>
      </w:r>
      <w:hyperlink w:anchor="Document1zzB021212021482735" w:history="1">
        <w:r>
          <w:rPr>
            <w:color w:val="0000FF"/>
            <w:u w:val="single"/>
            <w:vertAlign w:val="superscript"/>
          </w:rPr>
          <w:t>FN21</w:t>
        </w:r>
      </w:hyperlink>
      <w:bookmarkStart w:id="60" w:name="Document1zzF021212021482735"/>
      <w:bookmarkEnd w:id="60"/>
      <w:r>
        <w:rPr>
          <w:color w:val="000000"/>
        </w:rPr>
        <w:t xml:space="preserve">-that distinction has little relevance to this case. Defendant UBS is not an unsuspecting naif </w:t>
      </w:r>
      <w:proofErr w:type="gramStart"/>
      <w:r>
        <w:rPr>
          <w:color w:val="000000"/>
        </w:rPr>
        <w:t>who</w:t>
      </w:r>
      <w:proofErr w:type="gramEnd"/>
      <w:r>
        <w:rPr>
          <w:color w:val="000000"/>
        </w:rPr>
        <w:t xml:space="preserve"> has been made subject to United States law through so-called “tag” jurisdiction, but rather an international financial institution with full time operations in New York City.</w:t>
      </w:r>
      <w:hyperlink w:anchor="Document1zzB022222021482735" w:history="1">
        <w:r>
          <w:rPr>
            <w:color w:val="0000FF"/>
            <w:u w:val="single"/>
            <w:vertAlign w:val="superscript"/>
          </w:rPr>
          <w:t>FN22</w:t>
        </w:r>
      </w:hyperlink>
      <w:bookmarkStart w:id="61" w:name="Document1zzF022222021482735"/>
      <w:bookmarkEnd w:id="61"/>
      <w:r>
        <w:rPr>
          <w:color w:val="000000"/>
        </w:rPr>
        <w:t xml:space="preserve"> Defendant has not cited any case holding the application of United States law to be arbitrary or fundamentally unfair as against a corporation that engages in systematic and continuous activities within the State of New York. </w:t>
      </w:r>
      <w:r>
        <w:rPr>
          <w:i/>
          <w:iCs/>
          <w:color w:val="000000"/>
        </w:rPr>
        <w:t xml:space="preserve">See </w:t>
      </w:r>
      <w:hyperlink r:id="rId288" w:history="1">
        <w:r>
          <w:rPr>
            <w:i/>
            <w:iCs/>
            <w:color w:val="0000FF"/>
            <w:u w:val="single"/>
          </w:rPr>
          <w:t>Perkins v. Benguet Consol. Min. Co.,</w:t>
        </w:r>
      </w:hyperlink>
      <w:hyperlink r:id="rId289" w:history="1">
        <w:r>
          <w:rPr>
            <w:color w:val="0000FF"/>
            <w:u w:val="single"/>
          </w:rPr>
          <w:t xml:space="preserve"> 342 U.S. 437, 448, 72 S.Ct. 413, 96 L.Ed. </w:t>
        </w:r>
        <w:proofErr w:type="gramStart"/>
        <w:r>
          <w:rPr>
            <w:color w:val="0000FF"/>
            <w:u w:val="single"/>
          </w:rPr>
          <w:t>485 (1952)</w:t>
        </w:r>
      </w:hyperlink>
      <w:r>
        <w:rPr>
          <w:color w:val="000000"/>
        </w:rPr>
        <w:t xml:space="preserve"> (finding personal jurisdiction present even where cause of action is unrelated to the defendant's activities in the forum state provided that the activities are sufficiently contin</w:t>
      </w:r>
      <w:r>
        <w:rPr>
          <w:color w:val="000000"/>
        </w:rPr>
        <w:t>u</w:t>
      </w:r>
      <w:r>
        <w:rPr>
          <w:color w:val="000000"/>
        </w:rPr>
        <w:t xml:space="preserve">ous and substantial to make the assertion of jurisdiction reasonable) </w:t>
      </w:r>
      <w:r>
        <w:rPr>
          <w:i/>
          <w:iCs/>
          <w:color w:val="000000"/>
        </w:rPr>
        <w:t>reh.</w:t>
      </w:r>
      <w:proofErr w:type="gramEnd"/>
      <w:r>
        <w:rPr>
          <w:i/>
          <w:iCs/>
          <w:color w:val="000000"/>
        </w:rPr>
        <w:t xml:space="preserve"> </w:t>
      </w:r>
      <w:proofErr w:type="gramStart"/>
      <w:r>
        <w:rPr>
          <w:i/>
          <w:iCs/>
          <w:color w:val="000000"/>
        </w:rPr>
        <w:t>denied</w:t>
      </w:r>
      <w:proofErr w:type="gramEnd"/>
      <w:r>
        <w:rPr>
          <w:i/>
          <w:iCs/>
          <w:color w:val="000000"/>
        </w:rPr>
        <w:t>,</w:t>
      </w:r>
      <w:r>
        <w:rPr>
          <w:color w:val="000000"/>
        </w:rPr>
        <w:t xml:space="preserve"> </w:t>
      </w:r>
      <w:hyperlink r:id="rId290" w:history="1">
        <w:r>
          <w:rPr>
            <w:color w:val="0000FF"/>
            <w:u w:val="single"/>
          </w:rPr>
          <w:t xml:space="preserve">343 U.S. 917, 72 S.Ct. 645, 96 L.Ed. </w:t>
        </w:r>
        <w:proofErr w:type="gramStart"/>
        <w:r>
          <w:rPr>
            <w:color w:val="0000FF"/>
            <w:u w:val="single"/>
          </w:rPr>
          <w:t>1332 (1952)</w:t>
        </w:r>
      </w:hyperlink>
      <w:r>
        <w:rPr>
          <w:color w:val="000000"/>
        </w:rPr>
        <w:t>.</w:t>
      </w:r>
      <w:proofErr w:type="gramEnd"/>
      <w:r>
        <w:rPr>
          <w:color w:val="000000"/>
        </w:rPr>
        <w:t xml:space="preserve"> That defendant has had sufficient contact with this jurisdiction to subject it to general jurisdi</w:t>
      </w:r>
      <w:r>
        <w:rPr>
          <w:color w:val="000000"/>
        </w:rPr>
        <w:t>c</w:t>
      </w:r>
      <w:r>
        <w:rPr>
          <w:color w:val="000000"/>
        </w:rPr>
        <w:t>tion is a significant factor in the analysis of whether application of United States law would be “arbitrary or fund</w:t>
      </w:r>
      <w:r>
        <w:rPr>
          <w:color w:val="000000"/>
        </w:rPr>
        <w:t>a</w:t>
      </w:r>
      <w:r>
        <w:rPr>
          <w:color w:val="000000"/>
        </w:rPr>
        <w:t xml:space="preserve">mentally unfair.” </w:t>
      </w:r>
      <w:r>
        <w:rPr>
          <w:i/>
          <w:iCs/>
          <w:color w:val="000000"/>
        </w:rPr>
        <w:t xml:space="preserve">See, e.g., </w:t>
      </w:r>
      <w:hyperlink r:id="rId291" w:history="1">
        <w:r>
          <w:rPr>
            <w:i/>
            <w:iCs/>
            <w:color w:val="0000FF"/>
            <w:u w:val="single"/>
          </w:rPr>
          <w:t>Allstate Ins. Co. v. Hague,</w:t>
        </w:r>
      </w:hyperlink>
      <w:hyperlink r:id="rId292" w:history="1">
        <w:r>
          <w:rPr>
            <w:color w:val="0000FF"/>
            <w:u w:val="single"/>
          </w:rPr>
          <w:t xml:space="preserve"> 449 U.S. 302, 317, 101 S.Ct. 633, 642, 66 L.Ed.2d 521 (1981)</w:t>
        </w:r>
      </w:hyperlink>
      <w:r>
        <w:rPr>
          <w:color w:val="000000"/>
        </w:rPr>
        <w:t xml:space="preserve"> (“By virtue of its presence, [the defendant] can hardly claim unfamiliarity with the laws of the host jurisdiction and surprise that the state courts might apply forum law to litigation in which the company is involved.”); </w:t>
      </w:r>
      <w:hyperlink w:anchor="Document1zzB023232021482735" w:history="1">
        <w:r>
          <w:rPr>
            <w:color w:val="0000FF"/>
            <w:u w:val="single"/>
            <w:vertAlign w:val="superscript"/>
          </w:rPr>
          <w:t>FN23</w:t>
        </w:r>
      </w:hyperlink>
      <w:bookmarkStart w:id="62" w:name="Document1zzF023232021482735"/>
      <w:bookmarkEnd w:id="62"/>
      <w:r>
        <w:rPr>
          <w:color w:val="000000"/>
        </w:rPr>
        <w:t xml:space="preserve"> </w:t>
      </w:r>
      <w:r>
        <w:rPr>
          <w:i/>
          <w:iCs/>
          <w:color w:val="000000"/>
        </w:rPr>
        <w:t>see also</w:t>
      </w:r>
      <w:r>
        <w:rPr>
          <w:color w:val="000000"/>
        </w:rPr>
        <w:t xml:space="preserve"> Zachary Mills, </w:t>
      </w:r>
      <w:hyperlink r:id="rId293" w:history="1">
        <w:r>
          <w:rPr>
            <w:i/>
            <w:iCs/>
            <w:color w:val="0000FF"/>
            <w:u w:val="single"/>
          </w:rPr>
          <w:t xml:space="preserve">Does the World Need Knights Errant to Combat Enemies of All Mankind? </w:t>
        </w:r>
        <w:proofErr w:type="gramStart"/>
        <w:r>
          <w:rPr>
            <w:i/>
            <w:iCs/>
            <w:color w:val="0000FF"/>
            <w:u w:val="single"/>
          </w:rPr>
          <w:t>Universal Jurisdiction, Connecting Links, and Civil Liability,</w:t>
        </w:r>
      </w:hyperlink>
      <w:hyperlink r:id="rId294" w:history="1">
        <w:r>
          <w:rPr>
            <w:color w:val="0000FF"/>
            <w:u w:val="single"/>
          </w:rPr>
          <w:t xml:space="preserve"> note, 66 Wash. &amp; Lee L. Rev. 1315, 1360 (2009)</w:t>
        </w:r>
      </w:hyperlink>
      <w:r>
        <w:rPr>
          <w:color w:val="000000"/>
        </w:rPr>
        <w:t xml:space="preserve"> (“The presence of the d</w:t>
      </w:r>
      <w:r>
        <w:rPr>
          <w:color w:val="000000"/>
        </w:rPr>
        <w:t>e</w:t>
      </w:r>
      <w:r>
        <w:rPr>
          <w:color w:val="000000"/>
        </w:rPr>
        <w:t>fendant in the prosecuting state's territory is the most obvious of all connecting links.”).</w:t>
      </w:r>
      <w:proofErr w:type="gramEnd"/>
      <w:r>
        <w:rPr>
          <w:color w:val="000000"/>
        </w:rPr>
        <w:t xml:space="preserve"> However, it is not necessary to resolve here whether the requite nexus will always be satisfied by the availability of general jurisdiction, or whether that question warrants certification, because the defendant's presence in New York was only one factor on which the September 24th Order based its conclusion that the application of United States law would not offend Due Process.</w:t>
      </w:r>
      <w:hyperlink w:anchor="Document1zzB024242021482735" w:history="1">
        <w:r>
          <w:rPr>
            <w:color w:val="0000FF"/>
            <w:u w:val="single"/>
            <w:vertAlign w:val="superscript"/>
          </w:rPr>
          <w:t>FN24</w:t>
        </w:r>
      </w:hyperlink>
      <w:bookmarkStart w:id="63" w:name="Document1zzF024242021482735"/>
      <w:bookmarkEnd w:id="63"/>
    </w:p>
    <w:p w14:paraId="1BC84501" w14:textId="77777777" w:rsidR="003C7122" w:rsidRDefault="003C7122">
      <w:pPr>
        <w:widowControl w:val="0"/>
        <w:autoSpaceDE w:val="0"/>
        <w:autoSpaceDN w:val="0"/>
        <w:adjustRightInd w:val="0"/>
        <w:rPr>
          <w:color w:val="000000"/>
          <w:sz w:val="24"/>
          <w:szCs w:val="24"/>
        </w:rPr>
      </w:pPr>
    </w:p>
    <w:p w14:paraId="6D0BF600" w14:textId="77777777" w:rsidR="003C7122" w:rsidRDefault="00D24980">
      <w:pPr>
        <w:widowControl w:val="0"/>
        <w:autoSpaceDE w:val="0"/>
        <w:autoSpaceDN w:val="0"/>
        <w:adjustRightInd w:val="0"/>
        <w:ind w:left="720"/>
        <w:jc w:val="both"/>
        <w:rPr>
          <w:color w:val="000000"/>
          <w:sz w:val="24"/>
          <w:szCs w:val="24"/>
        </w:rPr>
      </w:pPr>
      <w:hyperlink w:anchor="Document1zzF021212021482735" w:history="1">
        <w:r w:rsidR="00D75BF9">
          <w:rPr>
            <w:color w:val="0000FF"/>
            <w:u w:val="single"/>
          </w:rPr>
          <w:t>FN21.</w:t>
        </w:r>
      </w:hyperlink>
      <w:bookmarkStart w:id="64" w:name="Document1zzB021212021482735"/>
      <w:bookmarkEnd w:id="64"/>
      <w:r w:rsidR="00D75BF9">
        <w:rPr>
          <w:color w:val="000000"/>
        </w:rPr>
        <w:t xml:space="preserve"> </w:t>
      </w:r>
      <w:r w:rsidR="00D75BF9">
        <w:rPr>
          <w:i/>
          <w:iCs/>
          <w:color w:val="000000"/>
        </w:rPr>
        <w:t xml:space="preserve">See, e.g., </w:t>
      </w:r>
      <w:hyperlink r:id="rId295" w:history="1">
        <w:r w:rsidR="00D75BF9">
          <w:rPr>
            <w:i/>
            <w:iCs/>
            <w:color w:val="0000FF"/>
            <w:u w:val="single"/>
          </w:rPr>
          <w:t>Burnham v. Superior Court,</w:t>
        </w:r>
      </w:hyperlink>
      <w:hyperlink r:id="rId296" w:history="1">
        <w:r w:rsidR="00D75BF9">
          <w:rPr>
            <w:color w:val="0000FF"/>
            <w:u w:val="single"/>
          </w:rPr>
          <w:t xml:space="preserve"> 495 U.S. 604, 619, 110 S.Ct. 2105, 109 L.Ed.2d 631 (1990)</w:t>
        </w:r>
      </w:hyperlink>
      <w:r w:rsidR="00D75BF9">
        <w:rPr>
          <w:color w:val="000000"/>
        </w:rPr>
        <w:t xml:space="preserve"> (“The short of the matter is that [personal] jurisdiction based on physical presence alone constitutes due process.”); </w:t>
      </w:r>
      <w:r w:rsidR="00D75BF9">
        <w:rPr>
          <w:i/>
          <w:iCs/>
          <w:color w:val="000000"/>
        </w:rPr>
        <w:t xml:space="preserve">cf. </w:t>
      </w:r>
      <w:hyperlink r:id="rId297" w:history="1">
        <w:r w:rsidR="00D75BF9">
          <w:rPr>
            <w:i/>
            <w:iCs/>
            <w:color w:val="0000FF"/>
            <w:u w:val="single"/>
          </w:rPr>
          <w:t>United States v. Aluminum Co. of Am.,</w:t>
        </w:r>
      </w:hyperlink>
      <w:hyperlink r:id="rId298" w:history="1">
        <w:r w:rsidR="00D75BF9">
          <w:rPr>
            <w:color w:val="0000FF"/>
            <w:u w:val="single"/>
          </w:rPr>
          <w:t xml:space="preserve"> 148 F.2d 416, 443 (2d Cir.1945)</w:t>
        </w:r>
      </w:hyperlink>
      <w:r w:rsidR="00D75BF9">
        <w:rPr>
          <w:color w:val="000000"/>
        </w:rPr>
        <w:t xml:space="preserve"> (Hand, J.) (“We should not impute to Congress an intent to punish all whom [our] courts can catch”).</w:t>
      </w:r>
    </w:p>
    <w:p w14:paraId="7EE95881" w14:textId="77777777" w:rsidR="003C7122" w:rsidRDefault="003C7122">
      <w:pPr>
        <w:widowControl w:val="0"/>
        <w:autoSpaceDE w:val="0"/>
        <w:autoSpaceDN w:val="0"/>
        <w:adjustRightInd w:val="0"/>
        <w:rPr>
          <w:color w:val="000000"/>
          <w:sz w:val="24"/>
          <w:szCs w:val="24"/>
        </w:rPr>
      </w:pPr>
    </w:p>
    <w:p w14:paraId="58F54C77" w14:textId="77777777" w:rsidR="003C7122" w:rsidRDefault="00D24980">
      <w:pPr>
        <w:widowControl w:val="0"/>
        <w:autoSpaceDE w:val="0"/>
        <w:autoSpaceDN w:val="0"/>
        <w:adjustRightInd w:val="0"/>
        <w:ind w:left="720"/>
        <w:jc w:val="both"/>
        <w:rPr>
          <w:color w:val="000000"/>
          <w:sz w:val="24"/>
          <w:szCs w:val="24"/>
        </w:rPr>
      </w:pPr>
      <w:hyperlink w:anchor="Document1zzF022222021482735" w:history="1">
        <w:r w:rsidR="00D75BF9">
          <w:rPr>
            <w:color w:val="0000FF"/>
            <w:u w:val="single"/>
          </w:rPr>
          <w:t>FN22.</w:t>
        </w:r>
      </w:hyperlink>
      <w:bookmarkStart w:id="65" w:name="Document1zzB022222021482735"/>
      <w:bookmarkEnd w:id="65"/>
      <w:r w:rsidR="00D75BF9">
        <w:rPr>
          <w:color w:val="000000"/>
        </w:rPr>
        <w:t xml:space="preserve"> Plaintiffs state in passing that in obtaining a license necessary to maintain a branch in the United States, UBS knowingly and voluntarily agreed to submit to the application of U.S. laws and regulations. </w:t>
      </w:r>
      <w:r w:rsidR="00D75BF9">
        <w:rPr>
          <w:i/>
          <w:iCs/>
          <w:color w:val="000000"/>
        </w:rPr>
        <w:t>See</w:t>
      </w:r>
      <w:r w:rsidR="00D75BF9">
        <w:rPr>
          <w:color w:val="000000"/>
        </w:rPr>
        <w:t xml:space="preserve"> Plaintiffs' Motion in Opposition to Defendant's Motion to Certify the September 24, 2009 Order for I</w:t>
      </w:r>
      <w:r w:rsidR="00D75BF9">
        <w:rPr>
          <w:color w:val="000000"/>
        </w:rPr>
        <w:t>n</w:t>
      </w:r>
      <w:r w:rsidR="00D75BF9">
        <w:rPr>
          <w:color w:val="000000"/>
        </w:rPr>
        <w:t>terlocutory Appeal (“Pl. Cert. Br.”) at 12. Defendant contends that in obtaining a license it did no more than consent that United States law apply to its United States operations. Because plaintiff has not ident</w:t>
      </w:r>
      <w:r w:rsidR="00D75BF9">
        <w:rPr>
          <w:color w:val="000000"/>
        </w:rPr>
        <w:t>i</w:t>
      </w:r>
      <w:r w:rsidR="00D75BF9">
        <w:rPr>
          <w:color w:val="000000"/>
        </w:rPr>
        <w:t>fied any specific license that contained such a waiver of defendant's due process rights, this opinion does not address whether such a provision would satisfy the nexus requirement for the extraterritorial application of the ATA to UBS's off-shore operations.</w:t>
      </w:r>
    </w:p>
    <w:p w14:paraId="558357F5" w14:textId="77777777" w:rsidR="003C7122" w:rsidRDefault="003C7122">
      <w:pPr>
        <w:widowControl w:val="0"/>
        <w:autoSpaceDE w:val="0"/>
        <w:autoSpaceDN w:val="0"/>
        <w:adjustRightInd w:val="0"/>
        <w:rPr>
          <w:color w:val="000000"/>
          <w:sz w:val="24"/>
          <w:szCs w:val="24"/>
        </w:rPr>
      </w:pPr>
    </w:p>
    <w:p w14:paraId="2AD22CF8" w14:textId="77777777" w:rsidR="003C7122" w:rsidRDefault="00D24980">
      <w:pPr>
        <w:widowControl w:val="0"/>
        <w:autoSpaceDE w:val="0"/>
        <w:autoSpaceDN w:val="0"/>
        <w:adjustRightInd w:val="0"/>
        <w:ind w:left="720"/>
        <w:jc w:val="both"/>
        <w:rPr>
          <w:color w:val="000000"/>
          <w:sz w:val="24"/>
          <w:szCs w:val="24"/>
        </w:rPr>
      </w:pPr>
      <w:hyperlink w:anchor="Document1zzF023232021482735" w:history="1">
        <w:r w:rsidR="00D75BF9">
          <w:rPr>
            <w:color w:val="0000FF"/>
            <w:u w:val="single"/>
          </w:rPr>
          <w:t>FN23.</w:t>
        </w:r>
      </w:hyperlink>
      <w:bookmarkStart w:id="66" w:name="Document1zzB023232021482735"/>
      <w:bookmarkEnd w:id="66"/>
      <w:r w:rsidR="00D75BF9">
        <w:rPr>
          <w:color w:val="000000"/>
        </w:rPr>
        <w:t xml:space="preserve"> While </w:t>
      </w:r>
      <w:hyperlink r:id="rId299" w:history="1">
        <w:r w:rsidR="00D75BF9">
          <w:rPr>
            <w:i/>
            <w:iCs/>
            <w:color w:val="0000FF"/>
            <w:u w:val="single"/>
          </w:rPr>
          <w:t>Hague</w:t>
        </w:r>
      </w:hyperlink>
      <w:r w:rsidR="00D75BF9">
        <w:rPr>
          <w:color w:val="000000"/>
        </w:rPr>
        <w:t xml:space="preserve"> concerned due process limitations on state choice of law in an inter-state context, r</w:t>
      </w:r>
      <w:r w:rsidR="00D75BF9">
        <w:rPr>
          <w:color w:val="000000"/>
        </w:rPr>
        <w:t>a</w:t>
      </w:r>
      <w:r w:rsidR="00D75BF9">
        <w:rPr>
          <w:color w:val="000000"/>
        </w:rPr>
        <w:t xml:space="preserve">ther than limits to the extraterritorial application of federal law in an international context, the Due Process requirement of a constitutionally sufficient nexus remains equally applicable. </w:t>
      </w:r>
      <w:proofErr w:type="gramStart"/>
      <w:r w:rsidR="00D75BF9">
        <w:rPr>
          <w:i/>
          <w:iCs/>
          <w:color w:val="000000"/>
        </w:rPr>
        <w:t>See</w:t>
      </w:r>
      <w:r w:rsidR="00D75BF9">
        <w:rPr>
          <w:color w:val="000000"/>
        </w:rPr>
        <w:t xml:space="preserve"> Lea Brilmayer &amp; Charles Norchi, </w:t>
      </w:r>
      <w:hyperlink r:id="rId300" w:history="1">
        <w:r w:rsidR="00D75BF9">
          <w:rPr>
            <w:i/>
            <w:iCs/>
            <w:color w:val="0000FF"/>
            <w:u w:val="single"/>
          </w:rPr>
          <w:t>Federal Extraterritoriality and Fifth Amendment Due Process,</w:t>
        </w:r>
      </w:hyperlink>
      <w:hyperlink r:id="rId301" w:history="1">
        <w:r w:rsidR="00D75BF9">
          <w:rPr>
            <w:color w:val="0000FF"/>
            <w:u w:val="single"/>
          </w:rPr>
          <w:t xml:space="preserve"> 105 Harv.</w:t>
        </w:r>
        <w:proofErr w:type="gramEnd"/>
        <w:r w:rsidR="00D75BF9">
          <w:rPr>
            <w:color w:val="0000FF"/>
            <w:u w:val="single"/>
          </w:rPr>
          <w:t xml:space="preserve"> L. Rev. 1217, 1223 (1992)</w:t>
        </w:r>
      </w:hyperlink>
      <w:r w:rsidR="00D75BF9">
        <w:rPr>
          <w:color w:val="000000"/>
        </w:rPr>
        <w:t xml:space="preserve"> (arguing that “the Fifth Amendment Due Process Clause limits federal actions in much the same manner that the Fourteenth Amendment Due Process Clause limits state actions”).</w:t>
      </w:r>
    </w:p>
    <w:p w14:paraId="5C13ED33" w14:textId="77777777" w:rsidR="003C7122" w:rsidRDefault="003C7122">
      <w:pPr>
        <w:widowControl w:val="0"/>
        <w:autoSpaceDE w:val="0"/>
        <w:autoSpaceDN w:val="0"/>
        <w:adjustRightInd w:val="0"/>
        <w:rPr>
          <w:color w:val="000000"/>
          <w:sz w:val="24"/>
          <w:szCs w:val="24"/>
        </w:rPr>
      </w:pPr>
    </w:p>
    <w:p w14:paraId="037FA5D5" w14:textId="77777777" w:rsidR="003C7122" w:rsidRDefault="00D24980">
      <w:pPr>
        <w:widowControl w:val="0"/>
        <w:autoSpaceDE w:val="0"/>
        <w:autoSpaceDN w:val="0"/>
        <w:adjustRightInd w:val="0"/>
        <w:ind w:left="720"/>
        <w:jc w:val="both"/>
        <w:rPr>
          <w:color w:val="000000"/>
          <w:sz w:val="24"/>
          <w:szCs w:val="24"/>
        </w:rPr>
      </w:pPr>
      <w:hyperlink w:anchor="Document1zzF024242021482735" w:history="1">
        <w:r w:rsidR="00D75BF9">
          <w:rPr>
            <w:color w:val="0000FF"/>
            <w:u w:val="single"/>
          </w:rPr>
          <w:t>FN24.</w:t>
        </w:r>
      </w:hyperlink>
      <w:bookmarkStart w:id="67" w:name="Document1zzB024242021482735"/>
      <w:bookmarkEnd w:id="67"/>
      <w:r w:rsidR="00D75BF9">
        <w:rPr>
          <w:color w:val="000000"/>
        </w:rPr>
        <w:t xml:space="preserve"> Plaintiffs contend that the fact that any notice defendant received of its customer ASP's designation as a Specially Designated Global Terrorist is itself a significant contact with this case as it goes to the ce</w:t>
      </w:r>
      <w:r w:rsidR="00D75BF9">
        <w:rPr>
          <w:color w:val="000000"/>
        </w:rPr>
        <w:t>n</w:t>
      </w:r>
      <w:r w:rsidR="00D75BF9">
        <w:rPr>
          <w:color w:val="000000"/>
        </w:rPr>
        <w:t xml:space="preserve">tral element of knowledge. This argument begs the question by assuming UBS's offshore operations are subject to the ATA; if jurisdiction is lacking over those </w:t>
      </w:r>
      <w:proofErr w:type="gramStart"/>
      <w:r w:rsidR="00D75BF9">
        <w:rPr>
          <w:color w:val="000000"/>
        </w:rPr>
        <w:t>off-shore</w:t>
      </w:r>
      <w:proofErr w:type="gramEnd"/>
      <w:r w:rsidR="00D75BF9">
        <w:rPr>
          <w:color w:val="000000"/>
        </w:rPr>
        <w:t xml:space="preserve"> entities, then their awareness of the fact that some act was prohibited under U.S. law provides no independent basis for jurisdiction. Further, at this early stage in the proceeding, there is no evidence aside from speculative allegations concerning how, if at all, UBS learned of ASP's status as an SDGT.</w:t>
      </w:r>
    </w:p>
    <w:p w14:paraId="530989DC" w14:textId="77777777" w:rsidR="003C7122" w:rsidRDefault="003C7122">
      <w:pPr>
        <w:widowControl w:val="0"/>
        <w:autoSpaceDE w:val="0"/>
        <w:autoSpaceDN w:val="0"/>
        <w:adjustRightInd w:val="0"/>
        <w:rPr>
          <w:color w:val="000000"/>
          <w:sz w:val="24"/>
          <w:szCs w:val="24"/>
        </w:rPr>
      </w:pPr>
    </w:p>
    <w:p w14:paraId="2FFAA094" w14:textId="77777777" w:rsidR="003C7122" w:rsidRDefault="00D75BF9">
      <w:pPr>
        <w:widowControl w:val="0"/>
        <w:autoSpaceDE w:val="0"/>
        <w:autoSpaceDN w:val="0"/>
        <w:adjustRightInd w:val="0"/>
        <w:jc w:val="both"/>
        <w:rPr>
          <w:color w:val="000000"/>
          <w:sz w:val="24"/>
          <w:szCs w:val="24"/>
        </w:rPr>
      </w:pPr>
      <w:r>
        <w:rPr>
          <w:b/>
          <w:bCs/>
          <w:color w:val="000000"/>
        </w:rPr>
        <w:t>ii. The United States' Interest in Combating Terrorism</w:t>
      </w:r>
    </w:p>
    <w:p w14:paraId="3CEF1792" w14:textId="77777777" w:rsidR="003C7122" w:rsidRDefault="00D24980">
      <w:pPr>
        <w:widowControl w:val="0"/>
        <w:autoSpaceDE w:val="0"/>
        <w:autoSpaceDN w:val="0"/>
        <w:adjustRightInd w:val="0"/>
        <w:ind w:firstLine="360"/>
        <w:jc w:val="both"/>
        <w:rPr>
          <w:color w:val="000000"/>
          <w:sz w:val="24"/>
          <w:szCs w:val="24"/>
        </w:rPr>
      </w:pPr>
      <w:hyperlink w:anchor="Document1zzF62021482735" w:history="1">
        <w:r w:rsidR="00D75BF9">
          <w:rPr>
            <w:color w:val="0000FF"/>
            <w:u w:val="single"/>
          </w:rPr>
          <w:t>[6]</w:t>
        </w:r>
      </w:hyperlink>
      <w:bookmarkStart w:id="68" w:name="Document1zzB62021482735"/>
      <w:bookmarkEnd w:id="68"/>
      <w:r w:rsidR="00D75BF9">
        <w:rPr>
          <w:color w:val="000000"/>
        </w:rPr>
        <w:t xml:space="preserve"> As the September 24th Order concluded, the existence of a sufficient nexus to the interest of the United States is also supported because of the United States' interest in combating international terrorism. </w:t>
      </w:r>
      <w:r w:rsidR="00D75BF9">
        <w:rPr>
          <w:i/>
          <w:iCs/>
          <w:color w:val="000000"/>
        </w:rPr>
        <w:t xml:space="preserve">See </w:t>
      </w:r>
      <w:hyperlink r:id="rId302" w:history="1">
        <w:r w:rsidR="00D75BF9">
          <w:rPr>
            <w:i/>
            <w:iCs/>
            <w:color w:val="0000FF"/>
            <w:u w:val="single"/>
          </w:rPr>
          <w:t>Goldberg,</w:t>
        </w:r>
      </w:hyperlink>
      <w:hyperlink r:id="rId303" w:history="1">
        <w:r w:rsidR="00D75BF9">
          <w:rPr>
            <w:color w:val="0000FF"/>
            <w:u w:val="single"/>
          </w:rPr>
          <w:t xml:space="preserve"> 660 F.Supp.2d at 431</w:t>
        </w:r>
      </w:hyperlink>
      <w:r w:rsidR="00D75BF9">
        <w:rPr>
          <w:color w:val="000000"/>
        </w:rPr>
        <w:t xml:space="preserve"> (noting United States' interest in combating terrorism and effects of attack on United States citizen plaintiffs). The ATA explicitly recognizes that “combating international terrorism is a paramount interest of the United States,” irrespective of whether the terrorist attacks themselves occur on United States soil or abroad.</w:t>
      </w:r>
      <w:hyperlink w:anchor="Document1zzB025252021482735" w:history="1">
        <w:r w:rsidR="00D75BF9">
          <w:rPr>
            <w:color w:val="0000FF"/>
            <w:u w:val="single"/>
            <w:vertAlign w:val="superscript"/>
          </w:rPr>
          <w:t>FN25</w:t>
        </w:r>
      </w:hyperlink>
      <w:bookmarkStart w:id="69" w:name="Document1zzF025252021482735"/>
      <w:bookmarkEnd w:id="69"/>
      <w:r w:rsidR="00D75BF9">
        <w:rPr>
          <w:color w:val="000000"/>
        </w:rPr>
        <w:t xml:space="preserve"> </w:t>
      </w:r>
      <w:hyperlink r:id="rId304" w:history="1">
        <w:r w:rsidR="00D75BF9">
          <w:rPr>
            <w:i/>
            <w:iCs/>
            <w:color w:val="0000FF"/>
            <w:u w:val="single"/>
          </w:rPr>
          <w:t>Id.,</w:t>
        </w:r>
      </w:hyperlink>
      <w:hyperlink r:id="rId305" w:history="1">
        <w:r w:rsidR="00D75BF9">
          <w:rPr>
            <w:color w:val="0000FF"/>
            <w:u w:val="single"/>
          </w:rPr>
          <w:t xml:space="preserve"> at 431</w:t>
        </w:r>
      </w:hyperlink>
      <w:r w:rsidR="00D75BF9">
        <w:rPr>
          <w:color w:val="000000"/>
        </w:rPr>
        <w:t xml:space="preserve"> (citing </w:t>
      </w:r>
      <w:hyperlink r:id="rId306" w:history="1">
        <w:r w:rsidR="00D75BF9">
          <w:rPr>
            <w:color w:val="0000FF"/>
            <w:u w:val="single"/>
          </w:rPr>
          <w:t>Pub. L. No. 104-132 § 301(a)(1)</w:t>
        </w:r>
      </w:hyperlink>
      <w:r w:rsidR="00D75BF9">
        <w:rPr>
          <w:color w:val="000000"/>
        </w:rPr>
        <w:t xml:space="preserve"> &amp; 7, 110 Stat. 1250 (1996), </w:t>
      </w:r>
      <w:r w:rsidR="00D75BF9">
        <w:rPr>
          <w:i/>
          <w:iCs/>
          <w:color w:val="000000"/>
        </w:rPr>
        <w:t>reprinted in</w:t>
      </w:r>
      <w:r w:rsidR="00D75BF9">
        <w:rPr>
          <w:color w:val="000000"/>
        </w:rPr>
        <w:t xml:space="preserve"> </w:t>
      </w:r>
      <w:hyperlink r:id="rId307" w:history="1">
        <w:r w:rsidR="00D75BF9">
          <w:rPr>
            <w:color w:val="0000FF"/>
            <w:u w:val="single"/>
          </w:rPr>
          <w:t>18 U.S.C. § 2339B</w:t>
        </w:r>
      </w:hyperlink>
      <w:r w:rsidR="00D75BF9">
        <w:rPr>
          <w:color w:val="000000"/>
        </w:rPr>
        <w:t xml:space="preserve">, note (“international terrorism is a serious and deadly problem that threatens the vital interests of the United States.”)). The United States has a clear interest in combating terrorism both within its borders and abroad. As Judge Bates concluded in </w:t>
      </w:r>
      <w:hyperlink r:id="rId308" w:history="1">
        <w:r w:rsidR="00D75BF9">
          <w:rPr>
            <w:i/>
            <w:iCs/>
            <w:color w:val="0000FF"/>
            <w:u w:val="single"/>
          </w:rPr>
          <w:t>Sisso v. Islamic Republic of Iran,</w:t>
        </w:r>
      </w:hyperlink>
    </w:p>
    <w:p w14:paraId="3B6812A8" w14:textId="77777777" w:rsidR="003C7122" w:rsidRDefault="003C7122">
      <w:pPr>
        <w:widowControl w:val="0"/>
        <w:autoSpaceDE w:val="0"/>
        <w:autoSpaceDN w:val="0"/>
        <w:adjustRightInd w:val="0"/>
        <w:rPr>
          <w:color w:val="000000"/>
          <w:sz w:val="24"/>
          <w:szCs w:val="24"/>
        </w:rPr>
      </w:pPr>
    </w:p>
    <w:p w14:paraId="22A08FF9" w14:textId="77777777" w:rsidR="003C7122" w:rsidRDefault="00D24980">
      <w:pPr>
        <w:widowControl w:val="0"/>
        <w:autoSpaceDE w:val="0"/>
        <w:autoSpaceDN w:val="0"/>
        <w:adjustRightInd w:val="0"/>
        <w:ind w:left="720"/>
        <w:jc w:val="both"/>
        <w:rPr>
          <w:color w:val="000000"/>
          <w:sz w:val="24"/>
          <w:szCs w:val="24"/>
        </w:rPr>
      </w:pPr>
      <w:hyperlink w:anchor="Document1zzF025252021482735" w:history="1">
        <w:r w:rsidR="00D75BF9">
          <w:rPr>
            <w:color w:val="0000FF"/>
            <w:u w:val="single"/>
          </w:rPr>
          <w:t>FN25.</w:t>
        </w:r>
      </w:hyperlink>
      <w:bookmarkStart w:id="70" w:name="Document1zzB025252021482735"/>
      <w:bookmarkEnd w:id="70"/>
      <w:r w:rsidR="00D75BF9">
        <w:rPr>
          <w:color w:val="000000"/>
        </w:rPr>
        <w:t xml:space="preserve"> Additionally, this court takes judicial notice of the fact that a large number of Americans are located in Israel as visitors or permanent residents. </w:t>
      </w:r>
      <w:r w:rsidR="00D75BF9">
        <w:rPr>
          <w:i/>
          <w:iCs/>
          <w:color w:val="000000"/>
        </w:rPr>
        <w:t xml:space="preserve">See </w:t>
      </w:r>
      <w:hyperlink r:id="rId309" w:history="1">
        <w:r w:rsidR="00D75BF9">
          <w:rPr>
            <w:i/>
            <w:iCs/>
            <w:color w:val="0000FF"/>
            <w:u w:val="single"/>
          </w:rPr>
          <w:t xml:space="preserve">Boim v. Holy Land Found. </w:t>
        </w:r>
        <w:proofErr w:type="gramStart"/>
        <w:r w:rsidR="00D75BF9">
          <w:rPr>
            <w:i/>
            <w:iCs/>
            <w:color w:val="0000FF"/>
            <w:u w:val="single"/>
          </w:rPr>
          <w:t>for</w:t>
        </w:r>
        <w:proofErr w:type="gramEnd"/>
        <w:r w:rsidR="00D75BF9">
          <w:rPr>
            <w:i/>
            <w:iCs/>
            <w:color w:val="0000FF"/>
            <w:u w:val="single"/>
          </w:rPr>
          <w:t xml:space="preserve"> Relief and Dev.</w:t>
        </w:r>
      </w:hyperlink>
      <w:hyperlink r:id="rId310" w:history="1">
        <w:r w:rsidR="00D75BF9">
          <w:rPr>
            <w:color w:val="0000FF"/>
            <w:u w:val="single"/>
          </w:rPr>
          <w:t xml:space="preserve"> (“</w:t>
        </w:r>
      </w:hyperlink>
      <w:hyperlink r:id="rId311" w:history="1">
        <w:r w:rsidR="00D75BF9">
          <w:rPr>
            <w:i/>
            <w:iCs/>
            <w:color w:val="0000FF"/>
            <w:u w:val="single"/>
          </w:rPr>
          <w:t>Boim III</w:t>
        </w:r>
      </w:hyperlink>
      <w:hyperlink r:id="rId312" w:history="1">
        <w:r w:rsidR="00D75BF9">
          <w:rPr>
            <w:color w:val="0000FF"/>
            <w:u w:val="single"/>
          </w:rPr>
          <w:t xml:space="preserve"> ”), 549 F.3d 685, 693-94 (7th Cir.2008)</w:t>
        </w:r>
      </w:hyperlink>
      <w:r w:rsidR="00D75BF9">
        <w:rPr>
          <w:color w:val="000000"/>
        </w:rPr>
        <w:t xml:space="preserve"> (“A knowing donor to Hamas ... would know that Hamas was gu</w:t>
      </w:r>
      <w:r w:rsidR="00D75BF9">
        <w:rPr>
          <w:color w:val="000000"/>
        </w:rPr>
        <w:t>n</w:t>
      </w:r>
      <w:r w:rsidR="00D75BF9">
        <w:rPr>
          <w:color w:val="000000"/>
        </w:rPr>
        <w:t xml:space="preserve">ning for </w:t>
      </w:r>
      <w:proofErr w:type="gramStart"/>
      <w:r w:rsidR="00D75BF9">
        <w:rPr>
          <w:color w:val="000000"/>
        </w:rPr>
        <w:t>Israelis ...</w:t>
      </w:r>
      <w:proofErr w:type="gramEnd"/>
      <w:r w:rsidR="00D75BF9">
        <w:rPr>
          <w:color w:val="000000"/>
        </w:rPr>
        <w:t>, that Americans are frequent visitors to and sojourners in Israel, [and] that many U.S. citizens live in Israel”) (citing report on the basis of State Department data by American Citizens Abroad, an advocacy group for expatriates, that “in 1999 there were about 184,000 American citizens living in Isr</w:t>
      </w:r>
      <w:r w:rsidR="00D75BF9">
        <w:rPr>
          <w:color w:val="000000"/>
        </w:rPr>
        <w:t>a</w:t>
      </w:r>
      <w:r w:rsidR="00D75BF9">
        <w:rPr>
          <w:color w:val="000000"/>
        </w:rPr>
        <w:t>el, accounting for about 3.1 percent of the country's population.”).</w:t>
      </w:r>
    </w:p>
    <w:p w14:paraId="04C00E3D" w14:textId="77777777" w:rsidR="003C7122" w:rsidRDefault="003C7122">
      <w:pPr>
        <w:widowControl w:val="0"/>
        <w:autoSpaceDE w:val="0"/>
        <w:autoSpaceDN w:val="0"/>
        <w:adjustRightInd w:val="0"/>
        <w:rPr>
          <w:color w:val="000000"/>
          <w:sz w:val="24"/>
          <w:szCs w:val="24"/>
        </w:rPr>
      </w:pPr>
    </w:p>
    <w:p w14:paraId="56EEF846" w14:textId="77777777" w:rsidR="003C7122" w:rsidRDefault="00D75BF9">
      <w:pPr>
        <w:widowControl w:val="0"/>
        <w:autoSpaceDE w:val="0"/>
        <w:autoSpaceDN w:val="0"/>
        <w:adjustRightInd w:val="0"/>
        <w:ind w:left="180"/>
        <w:jc w:val="both"/>
        <w:rPr>
          <w:color w:val="000000"/>
          <w:sz w:val="24"/>
          <w:szCs w:val="24"/>
        </w:rPr>
      </w:pPr>
      <w:r>
        <w:rPr>
          <w:color w:val="000000"/>
        </w:rPr>
        <w:t xml:space="preserve">It is </w:t>
      </w:r>
      <w:proofErr w:type="gramStart"/>
      <w:r>
        <w:rPr>
          <w:color w:val="000000"/>
        </w:rPr>
        <w:t>[ ]</w:t>
      </w:r>
      <w:proofErr w:type="gramEnd"/>
      <w:r>
        <w:rPr>
          <w:color w:val="000000"/>
        </w:rPr>
        <w:t xml:space="preserve"> entirely foreseeable that an indiscriminate attack on civilians in a crowded metropolitan center such as [J</w:t>
      </w:r>
      <w:r>
        <w:rPr>
          <w:color w:val="000000"/>
        </w:rPr>
        <w:t>e</w:t>
      </w:r>
      <w:r>
        <w:rPr>
          <w:color w:val="000000"/>
        </w:rPr>
        <w:t>rusalem] will cause injury to persons who reside in distant locales-including tourists and other visitors to the city, as well as relatives of individuals who live in the area. The ripples of harm that flow from such barbarous acts rarely stop at the banks of the Mediterranean Sea or the Jordan River, and those who engage in this kind of terro</w:t>
      </w:r>
      <w:r>
        <w:rPr>
          <w:color w:val="000000"/>
        </w:rPr>
        <w:t>r</w:t>
      </w:r>
      <w:r>
        <w:rPr>
          <w:color w:val="000000"/>
        </w:rPr>
        <w:t>ism should hardly be surprised to find that they are called to account for it in the courts of the United States-or, for that matter, in any tribunal recognized by civilized peoples.</w:t>
      </w:r>
    </w:p>
    <w:p w14:paraId="28B78586" w14:textId="77777777" w:rsidR="003C7122" w:rsidRDefault="00D75BF9">
      <w:pPr>
        <w:widowControl w:val="0"/>
        <w:autoSpaceDE w:val="0"/>
        <w:autoSpaceDN w:val="0"/>
        <w:adjustRightInd w:val="0"/>
        <w:ind w:left="180"/>
        <w:jc w:val="both"/>
        <w:rPr>
          <w:color w:val="000000"/>
          <w:sz w:val="24"/>
          <w:szCs w:val="24"/>
        </w:rPr>
      </w:pPr>
      <w:r>
        <w:rPr>
          <w:color w:val="000000"/>
        </w:rPr>
        <w:t xml:space="preserve"> </w:t>
      </w:r>
      <w:hyperlink r:id="rId313" w:history="1">
        <w:proofErr w:type="gramStart"/>
        <w:r>
          <w:rPr>
            <w:color w:val="0000FF"/>
            <w:u w:val="single"/>
          </w:rPr>
          <w:t>448 F.Supp.2d 76, 90 (D.D.C.2006)</w:t>
        </w:r>
      </w:hyperlink>
      <w:r>
        <w:rPr>
          <w:color w:val="000000"/>
        </w:rPr>
        <w:t>.</w:t>
      </w:r>
      <w:proofErr w:type="gramEnd"/>
      <w:r>
        <w:rPr>
          <w:color w:val="000000"/>
        </w:rPr>
        <w:t xml:space="preserve"> Cf. </w:t>
      </w:r>
      <w:hyperlink r:id="rId314" w:history="1">
        <w:r>
          <w:rPr>
            <w:i/>
            <w:iCs/>
            <w:color w:val="0000FF"/>
            <w:u w:val="single"/>
          </w:rPr>
          <w:t>Al Kassar,</w:t>
        </w:r>
      </w:hyperlink>
      <w:hyperlink r:id="rId315" w:history="1">
        <w:r>
          <w:rPr>
            <w:color w:val="0000FF"/>
            <w:u w:val="single"/>
          </w:rPr>
          <w:t xml:space="preserve"> 582 F.Supp.2d at 494</w:t>
        </w:r>
      </w:hyperlink>
      <w:r>
        <w:rPr>
          <w:color w:val="000000"/>
        </w:rPr>
        <w:t xml:space="preserve"> (rejecting assertion that there was “no reason to expect that U.S. law would by violated” by the conduct charged in the Indictment because “agreeing to sell weapons to a terrorist organization with the express purpose of killing innocent civilians unquestionably vi</w:t>
      </w:r>
      <w:r>
        <w:rPr>
          <w:color w:val="000000"/>
        </w:rPr>
        <w:t>o</w:t>
      </w:r>
      <w:r>
        <w:rPr>
          <w:color w:val="000000"/>
        </w:rPr>
        <w:t>lates the laws of all civilized nations, which uniformly punish, prosecute, and condemn terrorist violence.”).</w:t>
      </w:r>
      <w:hyperlink w:anchor="Document1zzB026262021482735" w:history="1">
        <w:r>
          <w:rPr>
            <w:color w:val="0000FF"/>
            <w:u w:val="single"/>
            <w:vertAlign w:val="superscript"/>
          </w:rPr>
          <w:t>FN26</w:t>
        </w:r>
      </w:hyperlink>
      <w:bookmarkStart w:id="71" w:name="Document1zzF026262021482735"/>
      <w:bookmarkEnd w:id="71"/>
    </w:p>
    <w:p w14:paraId="238A3555" w14:textId="77777777" w:rsidR="003C7122" w:rsidRDefault="003C7122">
      <w:pPr>
        <w:widowControl w:val="0"/>
        <w:autoSpaceDE w:val="0"/>
        <w:autoSpaceDN w:val="0"/>
        <w:adjustRightInd w:val="0"/>
        <w:rPr>
          <w:color w:val="000000"/>
          <w:sz w:val="24"/>
          <w:szCs w:val="24"/>
        </w:rPr>
      </w:pPr>
    </w:p>
    <w:p w14:paraId="082CB495" w14:textId="77777777" w:rsidR="003C7122" w:rsidRDefault="00D24980">
      <w:pPr>
        <w:widowControl w:val="0"/>
        <w:autoSpaceDE w:val="0"/>
        <w:autoSpaceDN w:val="0"/>
        <w:adjustRightInd w:val="0"/>
        <w:ind w:left="720"/>
        <w:jc w:val="both"/>
        <w:rPr>
          <w:color w:val="000000"/>
          <w:sz w:val="24"/>
          <w:szCs w:val="24"/>
        </w:rPr>
      </w:pPr>
      <w:hyperlink w:anchor="Document1zzF026262021482735" w:history="1">
        <w:r w:rsidR="00D75BF9">
          <w:rPr>
            <w:color w:val="0000FF"/>
            <w:u w:val="single"/>
          </w:rPr>
          <w:t>FN26.</w:t>
        </w:r>
      </w:hyperlink>
      <w:bookmarkStart w:id="72" w:name="Document1zzB026262021482735"/>
      <w:bookmarkEnd w:id="72"/>
      <w:r w:rsidR="00D75BF9">
        <w:rPr>
          <w:color w:val="000000"/>
        </w:rPr>
        <w:t xml:space="preserve"> To the extent this statement in </w:t>
      </w:r>
      <w:hyperlink r:id="rId316" w:history="1">
        <w:r w:rsidR="00D75BF9">
          <w:rPr>
            <w:i/>
            <w:iCs/>
            <w:color w:val="0000FF"/>
            <w:u w:val="single"/>
          </w:rPr>
          <w:t>Al Kassar</w:t>
        </w:r>
      </w:hyperlink>
      <w:r w:rsidR="00D75BF9">
        <w:rPr>
          <w:color w:val="000000"/>
        </w:rPr>
        <w:t xml:space="preserve"> suggests universal jurisdiction exists over all terrorist acti</w:t>
      </w:r>
      <w:r w:rsidR="00D75BF9">
        <w:rPr>
          <w:color w:val="000000"/>
        </w:rPr>
        <w:t>v</w:t>
      </w:r>
      <w:r w:rsidR="00D75BF9">
        <w:rPr>
          <w:color w:val="000000"/>
        </w:rPr>
        <w:t xml:space="preserve">ities even absent any nexus to the United States, it has been abrogated by </w:t>
      </w:r>
      <w:hyperlink r:id="rId317" w:history="1">
        <w:r w:rsidR="00D75BF9">
          <w:rPr>
            <w:i/>
            <w:iCs/>
            <w:color w:val="0000FF"/>
            <w:u w:val="single"/>
          </w:rPr>
          <w:t>Yousef,</w:t>
        </w:r>
      </w:hyperlink>
      <w:hyperlink r:id="rId318" w:history="1">
        <w:r w:rsidR="00D75BF9">
          <w:rPr>
            <w:color w:val="0000FF"/>
            <w:u w:val="single"/>
          </w:rPr>
          <w:t xml:space="preserve"> 327 F.3d at 106-109</w:t>
        </w:r>
      </w:hyperlink>
      <w:r w:rsidR="00D75BF9">
        <w:rPr>
          <w:color w:val="000000"/>
        </w:rPr>
        <w:t xml:space="preserve"> (di</w:t>
      </w:r>
      <w:r w:rsidR="00D75BF9">
        <w:rPr>
          <w:color w:val="000000"/>
        </w:rPr>
        <w:t>s</w:t>
      </w:r>
      <w:r w:rsidR="00D75BF9">
        <w:rPr>
          <w:color w:val="000000"/>
        </w:rPr>
        <w:t xml:space="preserve">cussed </w:t>
      </w:r>
      <w:r w:rsidR="00D75BF9">
        <w:rPr>
          <w:i/>
          <w:iCs/>
          <w:color w:val="000000"/>
        </w:rPr>
        <w:t>infra</w:t>
      </w:r>
      <w:r w:rsidR="00D75BF9">
        <w:rPr>
          <w:color w:val="000000"/>
        </w:rPr>
        <w:t xml:space="preserve"> at note 28). However, the statement remains relevant as an expression of the fact that a foreign defendant could reasonably expect to be haled into court in this country for providing material support to terrorists, at least where there exists some further basis for jurisdiction.</w:t>
      </w:r>
    </w:p>
    <w:p w14:paraId="36185C2C" w14:textId="77777777" w:rsidR="003C7122" w:rsidRDefault="003C7122">
      <w:pPr>
        <w:widowControl w:val="0"/>
        <w:autoSpaceDE w:val="0"/>
        <w:autoSpaceDN w:val="0"/>
        <w:adjustRightInd w:val="0"/>
        <w:rPr>
          <w:color w:val="000000"/>
          <w:sz w:val="24"/>
          <w:szCs w:val="24"/>
        </w:rPr>
      </w:pPr>
    </w:p>
    <w:p w14:paraId="5F94C59F" w14:textId="77777777" w:rsidR="003C7122" w:rsidRDefault="00D75BF9">
      <w:pPr>
        <w:widowControl w:val="0"/>
        <w:autoSpaceDE w:val="0"/>
        <w:autoSpaceDN w:val="0"/>
        <w:adjustRightInd w:val="0"/>
        <w:jc w:val="both"/>
        <w:rPr>
          <w:color w:val="000000"/>
          <w:sz w:val="24"/>
          <w:szCs w:val="24"/>
        </w:rPr>
      </w:pPr>
      <w:r>
        <w:rPr>
          <w:b/>
          <w:bCs/>
          <w:color w:val="000000"/>
        </w:rPr>
        <w:t>iii. Principles of International Law</w:t>
      </w:r>
    </w:p>
    <w:p w14:paraId="696E4318" w14:textId="77777777" w:rsidR="003C7122" w:rsidRDefault="00D75BF9">
      <w:pPr>
        <w:widowControl w:val="0"/>
        <w:autoSpaceDE w:val="0"/>
        <w:autoSpaceDN w:val="0"/>
        <w:adjustRightInd w:val="0"/>
        <w:ind w:firstLine="360"/>
        <w:jc w:val="both"/>
        <w:rPr>
          <w:color w:val="000000"/>
          <w:sz w:val="24"/>
          <w:szCs w:val="24"/>
        </w:rPr>
      </w:pPr>
      <w:r>
        <w:rPr>
          <w:color w:val="000000"/>
        </w:rPr>
        <w:t>Finally, jurisdiction would not be clearly contrary to any recognized principles of international law. Although compliance with international law alone will not render the extraterritorial application of federal law constitutional, it remains relevant to the analysis of whether a defendant could reasonably expect to be subject to the United States law, and in turn, whether the application of that law can be considered arbitrary or fundamentally unfair.</w:t>
      </w:r>
      <w:hyperlink w:anchor="Document1zzB027272021482735" w:history="1">
        <w:r>
          <w:rPr>
            <w:color w:val="0000FF"/>
            <w:u w:val="single"/>
            <w:vertAlign w:val="superscript"/>
          </w:rPr>
          <w:t>FN27</w:t>
        </w:r>
      </w:hyperlink>
      <w:bookmarkStart w:id="73" w:name="Document1zzF027272021482735"/>
      <w:bookmarkEnd w:id="73"/>
      <w:r>
        <w:rPr>
          <w:color w:val="000000"/>
        </w:rPr>
        <w:t xml:space="preserve"> </w:t>
      </w:r>
      <w:r>
        <w:rPr>
          <w:i/>
          <w:iCs/>
          <w:color w:val="000000"/>
        </w:rPr>
        <w:t xml:space="preserve">See </w:t>
      </w:r>
      <w:hyperlink r:id="rId319" w:history="1">
        <w:r>
          <w:rPr>
            <w:i/>
            <w:iCs/>
            <w:color w:val="0000FF"/>
            <w:u w:val="single"/>
          </w:rPr>
          <w:t>U.S. v. Davis,</w:t>
        </w:r>
      </w:hyperlink>
      <w:hyperlink r:id="rId320" w:history="1">
        <w:r>
          <w:rPr>
            <w:color w:val="0000FF"/>
            <w:u w:val="single"/>
          </w:rPr>
          <w:t xml:space="preserve"> 905 F.2d 245, 249 n. 2 (9th Cir.1990)</w:t>
        </w:r>
      </w:hyperlink>
      <w:r>
        <w:rPr>
          <w:color w:val="000000"/>
        </w:rPr>
        <w:t xml:space="preserve"> (noting in dicta that principles of international law are “useful as a rough guide” in determining whether a sufficient nexus exists, but that ultimate question is whether extraterrit</w:t>
      </w:r>
      <w:r>
        <w:rPr>
          <w:color w:val="000000"/>
        </w:rPr>
        <w:t>o</w:t>
      </w:r>
      <w:r>
        <w:rPr>
          <w:color w:val="000000"/>
        </w:rPr>
        <w:t xml:space="preserve">rial application of the statute would be “arbitrary or fundamentally unfair”); </w:t>
      </w:r>
      <w:r>
        <w:rPr>
          <w:i/>
          <w:iCs/>
          <w:color w:val="000000"/>
        </w:rPr>
        <w:t xml:space="preserve">see also </w:t>
      </w:r>
      <w:hyperlink r:id="rId321" w:history="1">
        <w:r>
          <w:rPr>
            <w:i/>
            <w:iCs/>
            <w:color w:val="0000FF"/>
            <w:u w:val="single"/>
          </w:rPr>
          <w:t>U.S. v. Pizzarusso,</w:t>
        </w:r>
      </w:hyperlink>
      <w:hyperlink r:id="rId322" w:history="1">
        <w:r>
          <w:rPr>
            <w:color w:val="0000FF"/>
            <w:u w:val="single"/>
          </w:rPr>
          <w:t xml:space="preserve"> 388 F.2d 8 (2d Cir.1968)</w:t>
        </w:r>
      </w:hyperlink>
      <w:r>
        <w:rPr>
          <w:color w:val="000000"/>
        </w:rPr>
        <w:t xml:space="preserve"> (considering principles of international law in finding jurisdiction existed to indict and convict foreign citizen of crime of knowingly making false statement in visa application); </w:t>
      </w:r>
      <w:hyperlink r:id="rId323" w:history="1">
        <w:r>
          <w:rPr>
            <w:i/>
            <w:iCs/>
            <w:color w:val="0000FF"/>
            <w:u w:val="single"/>
          </w:rPr>
          <w:t>U.S. v. Caicedo,</w:t>
        </w:r>
      </w:hyperlink>
      <w:hyperlink r:id="rId324" w:history="1">
        <w:r>
          <w:rPr>
            <w:color w:val="0000FF"/>
            <w:u w:val="single"/>
          </w:rPr>
          <w:t xml:space="preserve"> 47 F.3d 370, 372 (9th Cir.1995)</w:t>
        </w:r>
      </w:hyperlink>
      <w:r>
        <w:rPr>
          <w:color w:val="000000"/>
        </w:rPr>
        <w:t xml:space="preserve"> (“[A] defendant would have a legitimate expectation that because [the defendant] has subjected himself to the laws of one nation, other nations will not be entitled to exercise jurisdiction without some nexus.”); Anthony J. Colangelo, </w:t>
      </w:r>
      <w:hyperlink r:id="rId325" w:history="1">
        <w:r>
          <w:rPr>
            <w:i/>
            <w:iCs/>
            <w:color w:val="0000FF"/>
            <w:u w:val="single"/>
          </w:rPr>
          <w:t>Constitutional Limits on Extraterritorial Jurisdiction: Terrorism and the Intersection of National and International Law,</w:t>
        </w:r>
      </w:hyperlink>
      <w:hyperlink r:id="rId326" w:history="1">
        <w:r>
          <w:rPr>
            <w:color w:val="0000FF"/>
            <w:u w:val="single"/>
          </w:rPr>
          <w:t xml:space="preserve"> 48 Harv. Int'l L. J. 121, 122 (2007)</w:t>
        </w:r>
      </w:hyperlink>
      <w:r>
        <w:rPr>
          <w:color w:val="000000"/>
        </w:rPr>
        <w:t xml:space="preserve"> (concluding that “while the present constitutional landscape prescribes certain structural and due process limits on the United States' ability to project and apply extraterritorially its anti-terrorism laws, doctrines of international law intersect with the Constitution to avoid these limits, leaving the United States virtually unconstrained to extend the core panoply of its anti-terrorism laws to foreigners abroad.”).</w:t>
      </w:r>
    </w:p>
    <w:p w14:paraId="4610E3DC" w14:textId="77777777" w:rsidR="003C7122" w:rsidRDefault="003C7122">
      <w:pPr>
        <w:widowControl w:val="0"/>
        <w:autoSpaceDE w:val="0"/>
        <w:autoSpaceDN w:val="0"/>
        <w:adjustRightInd w:val="0"/>
        <w:rPr>
          <w:color w:val="000000"/>
          <w:sz w:val="24"/>
          <w:szCs w:val="24"/>
        </w:rPr>
      </w:pPr>
    </w:p>
    <w:p w14:paraId="1102373B" w14:textId="77777777" w:rsidR="003C7122" w:rsidRDefault="00D24980">
      <w:pPr>
        <w:widowControl w:val="0"/>
        <w:autoSpaceDE w:val="0"/>
        <w:autoSpaceDN w:val="0"/>
        <w:adjustRightInd w:val="0"/>
        <w:ind w:left="720"/>
        <w:jc w:val="both"/>
        <w:rPr>
          <w:color w:val="000000"/>
          <w:sz w:val="24"/>
          <w:szCs w:val="24"/>
        </w:rPr>
      </w:pPr>
      <w:hyperlink w:anchor="Document1zzF027272021482735" w:history="1">
        <w:r w:rsidR="00D75BF9">
          <w:rPr>
            <w:color w:val="0000FF"/>
            <w:u w:val="single"/>
          </w:rPr>
          <w:t>FN27.</w:t>
        </w:r>
      </w:hyperlink>
      <w:bookmarkStart w:id="74" w:name="Document1zzB027272021482735"/>
      <w:bookmarkEnd w:id="74"/>
      <w:r w:rsidR="00D75BF9">
        <w:rPr>
          <w:color w:val="000000"/>
        </w:rPr>
        <w:t xml:space="preserve"> International law is also relevant in a second respect: “[</w:t>
      </w:r>
      <w:proofErr w:type="gramStart"/>
      <w:r w:rsidR="00D75BF9">
        <w:rPr>
          <w:color w:val="000000"/>
        </w:rPr>
        <w:t>i]n</w:t>
      </w:r>
      <w:proofErr w:type="gramEnd"/>
      <w:r w:rsidR="00D75BF9">
        <w:rPr>
          <w:color w:val="000000"/>
        </w:rPr>
        <w:t xml:space="preserve"> the absence of an explicit Congressional directive, courts do not give extraterritorial effect to any statute that violates principles of international law.” </w:t>
      </w:r>
      <w:hyperlink r:id="rId327" w:history="1">
        <w:r w:rsidR="00D75BF9">
          <w:rPr>
            <w:i/>
            <w:iCs/>
            <w:color w:val="0000FF"/>
            <w:u w:val="single"/>
          </w:rPr>
          <w:t>U.S. v. Ma,</w:t>
        </w:r>
      </w:hyperlink>
      <w:hyperlink r:id="rId328" w:history="1">
        <w:r w:rsidR="00D75BF9">
          <w:rPr>
            <w:color w:val="0000FF"/>
            <w:u w:val="single"/>
          </w:rPr>
          <w:t xml:space="preserve"> No. 03 CR. 734(DAB), 2006 WL 708559, at *6 (S.D.N.Y. Mar. 21, 2006)</w:t>
        </w:r>
      </w:hyperlink>
      <w:r w:rsidR="00D75BF9">
        <w:rPr>
          <w:color w:val="000000"/>
        </w:rPr>
        <w:t>. However, b</w:t>
      </w:r>
      <w:r w:rsidR="00D75BF9">
        <w:rPr>
          <w:color w:val="000000"/>
        </w:rPr>
        <w:t>e</w:t>
      </w:r>
      <w:r w:rsidR="00D75BF9">
        <w:rPr>
          <w:color w:val="000000"/>
        </w:rPr>
        <w:t xml:space="preserve">cause Congress explicitly intended the ATA to apply extraterritorially, it would have been so applied even if doing so violated international law. </w:t>
      </w:r>
      <w:r w:rsidR="00D75BF9">
        <w:rPr>
          <w:i/>
          <w:iCs/>
          <w:color w:val="000000"/>
        </w:rPr>
        <w:t xml:space="preserve">See </w:t>
      </w:r>
      <w:hyperlink r:id="rId329" w:history="1">
        <w:r w:rsidR="00D75BF9">
          <w:rPr>
            <w:i/>
            <w:iCs/>
            <w:color w:val="0000FF"/>
            <w:u w:val="single"/>
          </w:rPr>
          <w:t>Yousef,</w:t>
        </w:r>
      </w:hyperlink>
      <w:hyperlink r:id="rId330" w:history="1">
        <w:r w:rsidR="00D75BF9">
          <w:rPr>
            <w:color w:val="0000FF"/>
            <w:u w:val="single"/>
          </w:rPr>
          <w:t xml:space="preserve"> 327 F.3d at 86</w:t>
        </w:r>
      </w:hyperlink>
      <w:r w:rsidR="00D75BF9">
        <w:rPr>
          <w:color w:val="000000"/>
        </w:rPr>
        <w:t xml:space="preserve"> (“[</w:t>
      </w:r>
      <w:proofErr w:type="gramStart"/>
      <w:r w:rsidR="00D75BF9">
        <w:rPr>
          <w:color w:val="000000"/>
        </w:rPr>
        <w:t>T]hat</w:t>
      </w:r>
      <w:proofErr w:type="gramEnd"/>
      <w:r w:rsidR="00D75BF9">
        <w:rPr>
          <w:color w:val="000000"/>
        </w:rPr>
        <w:t xml:space="preserve"> presumption can be overcome when Congress clearly expresses its intent to do so.”).</w:t>
      </w:r>
    </w:p>
    <w:p w14:paraId="1D0D90C7" w14:textId="77777777" w:rsidR="003C7122" w:rsidRDefault="003C7122">
      <w:pPr>
        <w:widowControl w:val="0"/>
        <w:autoSpaceDE w:val="0"/>
        <w:autoSpaceDN w:val="0"/>
        <w:adjustRightInd w:val="0"/>
        <w:rPr>
          <w:color w:val="000000"/>
          <w:sz w:val="24"/>
          <w:szCs w:val="24"/>
        </w:rPr>
      </w:pPr>
    </w:p>
    <w:p w14:paraId="2C77DA91" w14:textId="77777777" w:rsidR="003C7122" w:rsidRDefault="00D75BF9">
      <w:pPr>
        <w:widowControl w:val="0"/>
        <w:autoSpaceDE w:val="0"/>
        <w:autoSpaceDN w:val="0"/>
        <w:adjustRightInd w:val="0"/>
        <w:ind w:firstLine="360"/>
        <w:jc w:val="both"/>
        <w:rPr>
          <w:color w:val="000000"/>
          <w:sz w:val="24"/>
          <w:szCs w:val="24"/>
        </w:rPr>
      </w:pPr>
      <w:r>
        <w:rPr>
          <w:color w:val="000000"/>
        </w:rPr>
        <w:t>Courts have traditionally recognized five principles of international law under which the exercise of extraterrit</w:t>
      </w:r>
      <w:r>
        <w:rPr>
          <w:color w:val="000000"/>
        </w:rPr>
        <w:t>o</w:t>
      </w:r>
      <w:r>
        <w:rPr>
          <w:color w:val="000000"/>
        </w:rPr>
        <w:t xml:space="preserve">rial jurisdiction may be appropriate. As summarized in </w:t>
      </w:r>
      <w:hyperlink r:id="rId331" w:history="1">
        <w:r>
          <w:rPr>
            <w:i/>
            <w:iCs/>
            <w:color w:val="0000FF"/>
            <w:u w:val="single"/>
          </w:rPr>
          <w:t>U.S. v. Clark,</w:t>
        </w:r>
      </w:hyperlink>
      <w:hyperlink r:id="rId332" w:history="1">
        <w:r>
          <w:rPr>
            <w:color w:val="0000FF"/>
            <w:u w:val="single"/>
          </w:rPr>
          <w:t xml:space="preserve"> 315 F.Supp.2d 1127 (W.D.Wash.2004)</w:t>
        </w:r>
      </w:hyperlink>
      <w:r>
        <w:rPr>
          <w:color w:val="000000"/>
        </w:rPr>
        <w:t>, those principles include:</w:t>
      </w:r>
    </w:p>
    <w:p w14:paraId="0D08AFF7" w14:textId="77777777" w:rsidR="003C7122" w:rsidRDefault="003C7122">
      <w:pPr>
        <w:widowControl w:val="0"/>
        <w:autoSpaceDE w:val="0"/>
        <w:autoSpaceDN w:val="0"/>
        <w:adjustRightInd w:val="0"/>
        <w:rPr>
          <w:color w:val="000000"/>
          <w:sz w:val="24"/>
          <w:szCs w:val="24"/>
        </w:rPr>
      </w:pPr>
    </w:p>
    <w:p w14:paraId="21534E8E" w14:textId="77777777" w:rsidR="003C7122" w:rsidRDefault="00D75BF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the</w:t>
      </w:r>
      <w:proofErr w:type="gramEnd"/>
      <w:r>
        <w:rPr>
          <w:color w:val="000000"/>
        </w:rPr>
        <w:t xml:space="preserve"> objective territorial principle, under which jurisdiction is asserted over acts performed outside the United States that produce detrimental effects in the United States; (2) the protective principle, under which jurisdiction is asserted over foreigners for acts committed outside the United States that may impinge on the territorial integrity, security, or political independence of the United States; (3) the nationality principle, under which jurisdiction is based on the nationality or national character of the offender; (4) the universality principle, which provides juri</w:t>
      </w:r>
      <w:r>
        <w:rPr>
          <w:color w:val="000000"/>
        </w:rPr>
        <w:t>s</w:t>
      </w:r>
      <w:r>
        <w:rPr>
          <w:color w:val="000000"/>
        </w:rPr>
        <w:t xml:space="preserve">diction over extraterritorial acts for crimes so heinous as to be universally condemned </w:t>
      </w:r>
      <w:r>
        <w:rPr>
          <w:color w:val="000000"/>
          <w:vertAlign w:val="superscript"/>
        </w:rPr>
        <w:t>[</w:t>
      </w:r>
      <w:hyperlink w:anchor="Document1zzB028282021482735" w:history="1">
        <w:r>
          <w:rPr>
            <w:color w:val="0000FF"/>
            <w:u w:val="single"/>
            <w:vertAlign w:val="superscript"/>
          </w:rPr>
          <w:t>FN28</w:t>
        </w:r>
      </w:hyperlink>
      <w:bookmarkStart w:id="75" w:name="Document1zzF028282021482735"/>
      <w:bookmarkEnd w:id="75"/>
      <w:r>
        <w:rPr>
          <w:color w:val="000000"/>
          <w:vertAlign w:val="superscript"/>
        </w:rPr>
        <w:t>]</w:t>
      </w:r>
      <w:r>
        <w:rPr>
          <w:color w:val="000000"/>
        </w:rPr>
        <w:t>; and (5) the passive personality principle, under which jurisdiction is based upon the nationality of the victim.</w:t>
      </w:r>
    </w:p>
    <w:p w14:paraId="13F95D6E" w14:textId="77777777" w:rsidR="003C7122" w:rsidRDefault="003C7122">
      <w:pPr>
        <w:widowControl w:val="0"/>
        <w:autoSpaceDE w:val="0"/>
        <w:autoSpaceDN w:val="0"/>
        <w:adjustRightInd w:val="0"/>
        <w:rPr>
          <w:color w:val="000000"/>
          <w:sz w:val="24"/>
          <w:szCs w:val="24"/>
        </w:rPr>
      </w:pPr>
    </w:p>
    <w:p w14:paraId="6081EF25" w14:textId="77777777" w:rsidR="003C7122" w:rsidRDefault="00D24980">
      <w:pPr>
        <w:widowControl w:val="0"/>
        <w:autoSpaceDE w:val="0"/>
        <w:autoSpaceDN w:val="0"/>
        <w:adjustRightInd w:val="0"/>
        <w:ind w:left="720"/>
        <w:jc w:val="both"/>
        <w:rPr>
          <w:color w:val="000000"/>
          <w:sz w:val="24"/>
          <w:szCs w:val="24"/>
        </w:rPr>
      </w:pPr>
      <w:hyperlink w:anchor="Document1zzF028282021482735" w:history="1">
        <w:r w:rsidR="00D75BF9">
          <w:rPr>
            <w:color w:val="0000FF"/>
            <w:u w:val="single"/>
          </w:rPr>
          <w:t>FN28.</w:t>
        </w:r>
      </w:hyperlink>
      <w:bookmarkStart w:id="76" w:name="Document1zzB028282021482735"/>
      <w:bookmarkEnd w:id="76"/>
      <w:r w:rsidR="00D75BF9">
        <w:rPr>
          <w:color w:val="000000"/>
        </w:rPr>
        <w:t xml:space="preserve"> The Second Circuit has held that the universality principle does not provide jurisdiction over crimes merely because they have been denominated as “terrorism.” </w:t>
      </w:r>
      <w:r w:rsidR="00D75BF9">
        <w:rPr>
          <w:i/>
          <w:iCs/>
          <w:color w:val="000000"/>
        </w:rPr>
        <w:t xml:space="preserve">See </w:t>
      </w:r>
      <w:hyperlink r:id="rId333" w:history="1">
        <w:r w:rsidR="00D75BF9">
          <w:rPr>
            <w:i/>
            <w:iCs/>
            <w:color w:val="0000FF"/>
            <w:u w:val="single"/>
          </w:rPr>
          <w:t>Yousef,</w:t>
        </w:r>
      </w:hyperlink>
      <w:hyperlink r:id="rId334" w:history="1">
        <w:r w:rsidR="00D75BF9">
          <w:rPr>
            <w:color w:val="0000FF"/>
            <w:u w:val="single"/>
          </w:rPr>
          <w:t xml:space="preserve"> 327 F.3d at 106-109</w:t>
        </w:r>
      </w:hyperlink>
      <w:r w:rsidR="00D75BF9">
        <w:rPr>
          <w:color w:val="000000"/>
        </w:rPr>
        <w:t xml:space="preserve"> (“We regre</w:t>
      </w:r>
      <w:r w:rsidR="00D75BF9">
        <w:rPr>
          <w:color w:val="000000"/>
        </w:rPr>
        <w:t>t</w:t>
      </w:r>
      <w:r w:rsidR="00D75BF9">
        <w:rPr>
          <w:color w:val="000000"/>
        </w:rPr>
        <w:t xml:space="preserve">tably are no closer now than eighteen years ago to an international consensus on the definition of terrorism or even its </w:t>
      </w:r>
      <w:proofErr w:type="gramStart"/>
      <w:r w:rsidR="00D75BF9">
        <w:rPr>
          <w:color w:val="000000"/>
        </w:rPr>
        <w:t>proscription ....</w:t>
      </w:r>
      <w:proofErr w:type="gramEnd"/>
      <w:r w:rsidR="00D75BF9">
        <w:rPr>
          <w:color w:val="000000"/>
        </w:rPr>
        <w:t xml:space="preserve"> </w:t>
      </w:r>
      <w:proofErr w:type="gramStart"/>
      <w:r w:rsidR="00D75BF9">
        <w:rPr>
          <w:color w:val="000000"/>
        </w:rPr>
        <w:t>terrorism</w:t>
      </w:r>
      <w:proofErr w:type="gramEnd"/>
      <w:r w:rsidR="00D75BF9">
        <w:rPr>
          <w:color w:val="000000"/>
        </w:rPr>
        <w:t>-unlike piracy, war crimes, and crimes against humanity-does not pr</w:t>
      </w:r>
      <w:r w:rsidR="00D75BF9">
        <w:rPr>
          <w:color w:val="000000"/>
        </w:rPr>
        <w:t>o</w:t>
      </w:r>
      <w:r w:rsidR="00D75BF9">
        <w:rPr>
          <w:color w:val="000000"/>
        </w:rPr>
        <w:t>vide a basis for universal jurisdiction.”).</w:t>
      </w:r>
    </w:p>
    <w:p w14:paraId="73C04265" w14:textId="77777777" w:rsidR="003C7122" w:rsidRDefault="003C7122">
      <w:pPr>
        <w:widowControl w:val="0"/>
        <w:autoSpaceDE w:val="0"/>
        <w:autoSpaceDN w:val="0"/>
        <w:adjustRightInd w:val="0"/>
        <w:rPr>
          <w:color w:val="000000"/>
          <w:sz w:val="24"/>
          <w:szCs w:val="24"/>
        </w:rPr>
      </w:pPr>
    </w:p>
    <w:p w14:paraId="31C0025F" w14:textId="77777777" w:rsidR="003C7122" w:rsidRDefault="00D75BF9">
      <w:pPr>
        <w:widowControl w:val="0"/>
        <w:autoSpaceDE w:val="0"/>
        <w:autoSpaceDN w:val="0"/>
        <w:adjustRightInd w:val="0"/>
        <w:ind w:firstLine="360"/>
        <w:jc w:val="both"/>
        <w:rPr>
          <w:color w:val="000000"/>
          <w:sz w:val="24"/>
          <w:szCs w:val="24"/>
        </w:rPr>
      </w:pPr>
      <w:r>
        <w:rPr>
          <w:color w:val="000000"/>
        </w:rPr>
        <w:t>(</w:t>
      </w:r>
      <w:proofErr w:type="gramStart"/>
      <w:r>
        <w:rPr>
          <w:color w:val="000000"/>
        </w:rPr>
        <w:t>citing</w:t>
      </w:r>
      <w:proofErr w:type="gramEnd"/>
      <w:r>
        <w:rPr>
          <w:color w:val="000000"/>
        </w:rPr>
        <w:t xml:space="preserve"> Restatement (Third) of Foreign Relations of Law of the United States § 402 cmt. a (1987)); </w:t>
      </w:r>
      <w:r>
        <w:rPr>
          <w:i/>
          <w:iCs/>
          <w:color w:val="000000"/>
        </w:rPr>
        <w:t xml:space="preserve">see also </w:t>
      </w:r>
      <w:hyperlink r:id="rId335" w:history="1">
        <w:r>
          <w:rPr>
            <w:i/>
            <w:iCs/>
            <w:color w:val="0000FF"/>
            <w:u w:val="single"/>
          </w:rPr>
          <w:t>Matter of Marc Rich &amp; Co., A.G.,</w:t>
        </w:r>
      </w:hyperlink>
      <w:hyperlink r:id="rId336" w:history="1">
        <w:r>
          <w:rPr>
            <w:color w:val="0000FF"/>
            <w:u w:val="single"/>
          </w:rPr>
          <w:t xml:space="preserve"> 707 F.2d 663 (2d Cir.1983)</w:t>
        </w:r>
      </w:hyperlink>
      <w:r>
        <w:rPr>
          <w:color w:val="000000"/>
        </w:rPr>
        <w:t xml:space="preserve">; </w:t>
      </w:r>
      <w:hyperlink r:id="rId337" w:history="1">
        <w:r>
          <w:rPr>
            <w:i/>
            <w:iCs/>
            <w:color w:val="0000FF"/>
            <w:u w:val="single"/>
          </w:rPr>
          <w:t>Yousef,</w:t>
        </w:r>
      </w:hyperlink>
      <w:hyperlink r:id="rId338" w:history="1">
        <w:r>
          <w:rPr>
            <w:color w:val="0000FF"/>
            <w:u w:val="single"/>
          </w:rPr>
          <w:t xml:space="preserve"> 327 F.3d at 91 n. 24</w:t>
        </w:r>
      </w:hyperlink>
      <w:r>
        <w:rPr>
          <w:color w:val="000000"/>
        </w:rPr>
        <w:t xml:space="preserve"> (same). Both the obje</w:t>
      </w:r>
      <w:r>
        <w:rPr>
          <w:color w:val="000000"/>
        </w:rPr>
        <w:t>c</w:t>
      </w:r>
      <w:r>
        <w:rPr>
          <w:color w:val="000000"/>
        </w:rPr>
        <w:t>tive territorial principle and passive personality support jurisdiction here.</w:t>
      </w:r>
      <w:hyperlink w:anchor="Document1zzB029292021482735" w:history="1">
        <w:r>
          <w:rPr>
            <w:color w:val="0000FF"/>
            <w:u w:val="single"/>
            <w:vertAlign w:val="superscript"/>
          </w:rPr>
          <w:t>FN29</w:t>
        </w:r>
      </w:hyperlink>
      <w:bookmarkStart w:id="77" w:name="Document1zzF029292021482735"/>
      <w:bookmarkEnd w:id="77"/>
      <w:r>
        <w:rPr>
          <w:color w:val="000000"/>
        </w:rPr>
        <w:t xml:space="preserve"> As discussed above, it cannot be said to be unforeseeable that a terrorist attack in a major metropolitan center would harm United States citizens or pro</w:t>
      </w:r>
      <w:r>
        <w:rPr>
          <w:color w:val="000000"/>
        </w:rPr>
        <w:t>p</w:t>
      </w:r>
      <w:r>
        <w:rPr>
          <w:color w:val="000000"/>
        </w:rPr>
        <w:t xml:space="preserve">erty, and the plaintiffs allegedly harmed are each United States citizens. </w:t>
      </w:r>
      <w:r>
        <w:rPr>
          <w:i/>
          <w:iCs/>
          <w:color w:val="000000"/>
        </w:rPr>
        <w:t>See</w:t>
      </w:r>
      <w:r>
        <w:rPr>
          <w:color w:val="000000"/>
        </w:rPr>
        <w:t xml:space="preserve"> Terry Richard Kane, </w:t>
      </w:r>
      <w:hyperlink r:id="rId339" w:history="1">
        <w:r>
          <w:rPr>
            <w:i/>
            <w:iCs/>
            <w:color w:val="0000FF"/>
            <w:u w:val="single"/>
          </w:rPr>
          <w:t>Prosecuting Inte</w:t>
        </w:r>
        <w:r>
          <w:rPr>
            <w:i/>
            <w:iCs/>
            <w:color w:val="0000FF"/>
            <w:u w:val="single"/>
          </w:rPr>
          <w:t>r</w:t>
        </w:r>
        <w:r>
          <w:rPr>
            <w:i/>
            <w:iCs/>
            <w:color w:val="0000FF"/>
            <w:u w:val="single"/>
          </w:rPr>
          <w:t>national Terrorists in United States Courts: Gaining The Jurisdictional Threshold,</w:t>
        </w:r>
      </w:hyperlink>
      <w:hyperlink r:id="rId340" w:history="1">
        <w:r>
          <w:rPr>
            <w:color w:val="0000FF"/>
            <w:u w:val="single"/>
          </w:rPr>
          <w:t xml:space="preserve"> 12 Yale J. Int'l L. 294 (1987)</w:t>
        </w:r>
      </w:hyperlink>
      <w:r>
        <w:rPr>
          <w:color w:val="000000"/>
        </w:rPr>
        <w:t xml:space="preserve"> (noting </w:t>
      </w:r>
      <w:hyperlink r:id="rId341" w:history="1">
        <w:r>
          <w:rPr>
            <w:color w:val="0000FF"/>
            <w:u w:val="single"/>
          </w:rPr>
          <w:t>18 U.S.C. § 2331</w:t>
        </w:r>
      </w:hyperlink>
      <w:r>
        <w:rPr>
          <w:color w:val="000000"/>
        </w:rPr>
        <w:t xml:space="preserve"> “embraced for the first time the passive personality theory of jurisdiction.”); see also A</w:t>
      </w:r>
      <w:r>
        <w:rPr>
          <w:color w:val="000000"/>
        </w:rPr>
        <w:t>l</w:t>
      </w:r>
      <w:r>
        <w:rPr>
          <w:color w:val="000000"/>
        </w:rPr>
        <w:t xml:space="preserve">exander J. Urbelis, </w:t>
      </w:r>
      <w:hyperlink r:id="rId342" w:history="1">
        <w:r>
          <w:rPr>
            <w:i/>
            <w:iCs/>
            <w:color w:val="0000FF"/>
            <w:u w:val="single"/>
          </w:rPr>
          <w:t>Rethinking Extraterritorial Prosecution in the War on Terror: Examining the Unintentional Yet Foreseeable Consequences of Extraterritorially Criminalizing the Provision of Material Support to Terrorists and Foreign Terrorist Organizations,</w:t>
        </w:r>
      </w:hyperlink>
      <w:hyperlink r:id="rId343" w:history="1">
        <w:r>
          <w:rPr>
            <w:color w:val="0000FF"/>
            <w:u w:val="single"/>
          </w:rPr>
          <w:t xml:space="preserve"> 22 Conn. J. Int'l L. 313 (2007)</w:t>
        </w:r>
      </w:hyperlink>
      <w:r>
        <w:rPr>
          <w:color w:val="000000"/>
        </w:rPr>
        <w:t xml:space="preserve"> (concluding extraterritorial application of 2339A, 2339B, and 2339C are supported by customary principles of international law). Moreover, while a complete conse</w:t>
      </w:r>
      <w:r>
        <w:rPr>
          <w:color w:val="000000"/>
        </w:rPr>
        <w:t>n</w:t>
      </w:r>
      <w:r>
        <w:rPr>
          <w:color w:val="000000"/>
        </w:rPr>
        <w:t>sus on internationally recognized bases of jurisdiction is elusive, defendants have not established that the exercise of jurisdiction in this particular case would violate any accepted principles of international law.</w:t>
      </w:r>
    </w:p>
    <w:p w14:paraId="2E27BCB9" w14:textId="77777777" w:rsidR="003C7122" w:rsidRDefault="003C7122">
      <w:pPr>
        <w:widowControl w:val="0"/>
        <w:autoSpaceDE w:val="0"/>
        <w:autoSpaceDN w:val="0"/>
        <w:adjustRightInd w:val="0"/>
        <w:rPr>
          <w:color w:val="000000"/>
          <w:sz w:val="24"/>
          <w:szCs w:val="24"/>
        </w:rPr>
      </w:pPr>
    </w:p>
    <w:p w14:paraId="457FC040" w14:textId="77777777" w:rsidR="003C7122" w:rsidRDefault="00D24980">
      <w:pPr>
        <w:widowControl w:val="0"/>
        <w:autoSpaceDE w:val="0"/>
        <w:autoSpaceDN w:val="0"/>
        <w:adjustRightInd w:val="0"/>
        <w:ind w:left="720"/>
        <w:jc w:val="both"/>
        <w:rPr>
          <w:color w:val="000000"/>
          <w:sz w:val="24"/>
          <w:szCs w:val="24"/>
        </w:rPr>
      </w:pPr>
      <w:hyperlink w:anchor="Document1zzF029292021482735" w:history="1">
        <w:r w:rsidR="00D75BF9">
          <w:rPr>
            <w:color w:val="0000FF"/>
            <w:u w:val="single"/>
          </w:rPr>
          <w:t>FN29.</w:t>
        </w:r>
      </w:hyperlink>
      <w:bookmarkStart w:id="78" w:name="Document1zzB029292021482735"/>
      <w:bookmarkEnd w:id="78"/>
      <w:r w:rsidR="00D75BF9">
        <w:rPr>
          <w:color w:val="000000"/>
        </w:rPr>
        <w:t xml:space="preserve"> It is true that all the cases cited above arise in a criminal context. Whether the passive personality principle can be truly considered an accepted basis of jurisdiction under international law is open to di</w:t>
      </w:r>
      <w:r w:rsidR="00D75BF9">
        <w:rPr>
          <w:color w:val="000000"/>
        </w:rPr>
        <w:t>s</w:t>
      </w:r>
      <w:r w:rsidR="00D75BF9">
        <w:rPr>
          <w:color w:val="000000"/>
        </w:rPr>
        <w:t xml:space="preserve">pute, especially in the civil context. </w:t>
      </w:r>
      <w:r w:rsidR="00D75BF9">
        <w:rPr>
          <w:i/>
          <w:iCs/>
          <w:color w:val="000000"/>
        </w:rPr>
        <w:t>See, e.g.,</w:t>
      </w:r>
      <w:r w:rsidR="00D75BF9">
        <w:rPr>
          <w:color w:val="000000"/>
        </w:rPr>
        <w:t xml:space="preserve"> Christopher L. Blakesley and Dan E. Stigall, </w:t>
      </w:r>
      <w:r w:rsidR="00D75BF9">
        <w:rPr>
          <w:i/>
          <w:iCs/>
          <w:color w:val="000000"/>
        </w:rPr>
        <w:t xml:space="preserve">The </w:t>
      </w:r>
      <w:hyperlink r:id="rId344" w:history="1">
        <w:r w:rsidR="00D75BF9">
          <w:rPr>
            <w:i/>
            <w:iCs/>
            <w:color w:val="0000FF"/>
            <w:u w:val="single"/>
          </w:rPr>
          <w:t>Myopia of U.S. v. Martinelli: Extraterritorial Jurisdiction in the 21st Century,</w:t>
        </w:r>
      </w:hyperlink>
      <w:hyperlink r:id="rId345" w:history="1">
        <w:r w:rsidR="00D75BF9">
          <w:rPr>
            <w:color w:val="0000FF"/>
            <w:u w:val="single"/>
          </w:rPr>
          <w:t xml:space="preserve"> 39 Geo. Wash. Int'l L. Rev. 1 (2007)</w:t>
        </w:r>
      </w:hyperlink>
      <w:r w:rsidR="00D75BF9">
        <w:rPr>
          <w:color w:val="000000"/>
        </w:rPr>
        <w:t xml:space="preserve"> (observing that “the passive personality principle is not widely accepted”); Andrea K. Bjorklund, </w:t>
      </w:r>
      <w:hyperlink r:id="rId346" w:history="1">
        <w:r w:rsidR="00D75BF9">
          <w:rPr>
            <w:i/>
            <w:iCs/>
            <w:color w:val="0000FF"/>
            <w:u w:val="single"/>
          </w:rPr>
          <w:t>Reconci</w:t>
        </w:r>
        <w:r w:rsidR="00D75BF9">
          <w:rPr>
            <w:i/>
            <w:iCs/>
            <w:color w:val="0000FF"/>
            <w:u w:val="single"/>
          </w:rPr>
          <w:t>l</w:t>
        </w:r>
        <w:r w:rsidR="00D75BF9">
          <w:rPr>
            <w:i/>
            <w:iCs/>
            <w:color w:val="0000FF"/>
            <w:u w:val="single"/>
          </w:rPr>
          <w:t>ing State Sovereignty and Investor Protection in Denial of Justice Claims,</w:t>
        </w:r>
      </w:hyperlink>
      <w:hyperlink r:id="rId347" w:history="1">
        <w:r w:rsidR="00D75BF9">
          <w:rPr>
            <w:color w:val="0000FF"/>
            <w:u w:val="single"/>
          </w:rPr>
          <w:t xml:space="preserve"> 45 Va. J. Int'l L. 809, 885 (2005)</w:t>
        </w:r>
      </w:hyperlink>
      <w:r w:rsidR="00D75BF9">
        <w:rPr>
          <w:color w:val="000000"/>
        </w:rPr>
        <w:t xml:space="preserve"> (“jurisdictional bases, like the effects principle used in U.S. (and increasingly in EU) antitrust law, or the passive personality principle, are more controversial”); Eric Talbot Jensen, </w:t>
      </w:r>
      <w:hyperlink r:id="rId348" w:history="1">
        <w:r w:rsidR="00D75BF9">
          <w:rPr>
            <w:i/>
            <w:iCs/>
            <w:color w:val="0000FF"/>
            <w:u w:val="single"/>
          </w:rPr>
          <w:t>Exercising Passive Personality Jurisdiction Over Combatants: a Theory In Need of a Political Solution,</w:t>
        </w:r>
      </w:hyperlink>
      <w:hyperlink r:id="rId349" w:history="1">
        <w:r w:rsidR="00D75BF9">
          <w:rPr>
            <w:color w:val="0000FF"/>
            <w:u w:val="single"/>
          </w:rPr>
          <w:t xml:space="preserve"> 42 Int'l Law. </w:t>
        </w:r>
        <w:proofErr w:type="gramStart"/>
        <w:r w:rsidR="00D75BF9">
          <w:rPr>
            <w:color w:val="0000FF"/>
            <w:u w:val="single"/>
          </w:rPr>
          <w:t>1107, 1114 (2008)</w:t>
        </w:r>
      </w:hyperlink>
      <w:r w:rsidR="00D75BF9">
        <w:rPr>
          <w:color w:val="000000"/>
        </w:rPr>
        <w:t xml:space="preserve"> (noting that passive personality jurisdiction “has been variously described as ‘the most aggressive’ or ‘exo</w:t>
      </w:r>
      <w:r w:rsidR="00D75BF9">
        <w:rPr>
          <w:color w:val="000000"/>
        </w:rPr>
        <w:t>t</w:t>
      </w:r>
      <w:r w:rsidR="00D75BF9">
        <w:rPr>
          <w:color w:val="000000"/>
        </w:rPr>
        <w:t xml:space="preserve">ic’ form of jurisdiction and [is] certainly the most controversial.”); </w:t>
      </w:r>
      <w:hyperlink r:id="rId350" w:history="1">
        <w:r w:rsidR="00D75BF9">
          <w:rPr>
            <w:color w:val="0000FF"/>
            <w:u w:val="single"/>
          </w:rPr>
          <w:t>Restatement (Third) of Foreign Rel</w:t>
        </w:r>
        <w:r w:rsidR="00D75BF9">
          <w:rPr>
            <w:color w:val="0000FF"/>
            <w:u w:val="single"/>
          </w:rPr>
          <w:t>a</w:t>
        </w:r>
        <w:r w:rsidR="00D75BF9">
          <w:rPr>
            <w:color w:val="0000FF"/>
            <w:u w:val="single"/>
          </w:rPr>
          <w:t>tions § 402</w:t>
        </w:r>
      </w:hyperlink>
      <w:r w:rsidR="00D75BF9">
        <w:rPr>
          <w:color w:val="000000"/>
        </w:rPr>
        <w:t xml:space="preserve"> cmt.</w:t>
      </w:r>
      <w:proofErr w:type="gramEnd"/>
      <w:r w:rsidR="00D75BF9">
        <w:rPr>
          <w:color w:val="000000"/>
        </w:rPr>
        <w:t xml:space="preserve"> </w:t>
      </w:r>
      <w:proofErr w:type="gramStart"/>
      <w:r w:rsidR="00D75BF9">
        <w:rPr>
          <w:color w:val="000000"/>
        </w:rPr>
        <w:t>d</w:t>
      </w:r>
      <w:proofErr w:type="gramEnd"/>
      <w:r w:rsidR="00D75BF9">
        <w:rPr>
          <w:color w:val="000000"/>
        </w:rPr>
        <w:t xml:space="preserve"> (1987) (“Controversy has arisen as a result of economic regulation by the United States and others, particularly through competition laws, on the basis of economic effect in their territory, when the conduct was lawful where carried out.”).</w:t>
      </w:r>
    </w:p>
    <w:p w14:paraId="50FF362F" w14:textId="77777777" w:rsidR="003C7122" w:rsidRDefault="003C7122">
      <w:pPr>
        <w:widowControl w:val="0"/>
        <w:autoSpaceDE w:val="0"/>
        <w:autoSpaceDN w:val="0"/>
        <w:adjustRightInd w:val="0"/>
        <w:rPr>
          <w:color w:val="000000"/>
          <w:sz w:val="24"/>
          <w:szCs w:val="24"/>
        </w:rPr>
      </w:pPr>
    </w:p>
    <w:p w14:paraId="69CE883B" w14:textId="77777777" w:rsidR="003C7122" w:rsidRDefault="00D75BF9">
      <w:pPr>
        <w:widowControl w:val="0"/>
        <w:autoSpaceDE w:val="0"/>
        <w:autoSpaceDN w:val="0"/>
        <w:adjustRightInd w:val="0"/>
        <w:ind w:left="900"/>
        <w:jc w:val="both"/>
        <w:rPr>
          <w:color w:val="000000"/>
          <w:sz w:val="24"/>
          <w:szCs w:val="24"/>
        </w:rPr>
      </w:pPr>
      <w:r>
        <w:rPr>
          <w:color w:val="000000"/>
        </w:rPr>
        <w:t>The United States in particular has been reluctant to accept the passive personality principle as a basis of jurisdiction in civil matters, at least when invoked by foreign states. For instance, in negotiations to d</w:t>
      </w:r>
      <w:r>
        <w:rPr>
          <w:color w:val="000000"/>
        </w:rPr>
        <w:t>e</w:t>
      </w:r>
      <w:r>
        <w:rPr>
          <w:color w:val="000000"/>
        </w:rPr>
        <w:t xml:space="preserve">velop an international convention on the Recognition and Enforcement of Foreign Judgments, the United States has objected to the exercise of in personam jurisdiction “where a defendant had no relation with the jurisdiction.” </w:t>
      </w:r>
      <w:r>
        <w:rPr>
          <w:i/>
          <w:iCs/>
          <w:color w:val="000000"/>
        </w:rPr>
        <w:t>See generally,</w:t>
      </w:r>
      <w:r>
        <w:rPr>
          <w:color w:val="000000"/>
        </w:rPr>
        <w:t xml:space="preserve"> Yoav Oestreicher, </w:t>
      </w:r>
      <w:r>
        <w:rPr>
          <w:i/>
          <w:iCs/>
          <w:color w:val="000000"/>
        </w:rPr>
        <w:t>“</w:t>
      </w:r>
      <w:hyperlink r:id="rId351" w:history="1">
        <w:r>
          <w:rPr>
            <w:i/>
            <w:iCs/>
            <w:color w:val="0000FF"/>
            <w:u w:val="single"/>
          </w:rPr>
          <w:t>We're On A Road to Nowhere”-Reasons for the Co</w:t>
        </w:r>
        <w:r>
          <w:rPr>
            <w:i/>
            <w:iCs/>
            <w:color w:val="0000FF"/>
            <w:u w:val="single"/>
          </w:rPr>
          <w:t>n</w:t>
        </w:r>
        <w:r>
          <w:rPr>
            <w:i/>
            <w:iCs/>
            <w:color w:val="0000FF"/>
            <w:u w:val="single"/>
          </w:rPr>
          <w:t>tinuing Failure to Regulate Recognition and Enforcement of Foreign Judgments,</w:t>
        </w:r>
      </w:hyperlink>
      <w:hyperlink r:id="rId352" w:history="1">
        <w:r>
          <w:rPr>
            <w:color w:val="0000FF"/>
            <w:u w:val="single"/>
          </w:rPr>
          <w:t xml:space="preserve"> 42 Int'l Lawyer 59, 75 (2008)</w:t>
        </w:r>
      </w:hyperlink>
      <w:r>
        <w:rPr>
          <w:color w:val="000000"/>
        </w:rPr>
        <w:t xml:space="preserve">; </w:t>
      </w:r>
      <w:r>
        <w:rPr>
          <w:i/>
          <w:iCs/>
          <w:color w:val="000000"/>
        </w:rPr>
        <w:t>see also</w:t>
      </w:r>
      <w:r>
        <w:rPr>
          <w:color w:val="000000"/>
        </w:rPr>
        <w:t xml:space="preserve"> Ronald A. Brand, </w:t>
      </w:r>
      <w:hyperlink r:id="rId353" w:history="1">
        <w:r>
          <w:rPr>
            <w:color w:val="0000FF"/>
            <w:u w:val="single"/>
          </w:rPr>
          <w:t>Due Process, Jurisdiction and a Hague Judgments Convention, 60 U. Pitt. L. Rev. 661, 696-697 (1999)</w:t>
        </w:r>
      </w:hyperlink>
      <w:r>
        <w:rPr>
          <w:color w:val="000000"/>
        </w:rPr>
        <w:t xml:space="preserve">. Similarly, the American Law Institute's model federal statute on the recognition and enforcement of foreign judgments expressly excludes the nationality of a plaintiff as an accepted basis of jurisdiction, noting that such a basis of jurisdiction is considered exorbitant under EU conventions. </w:t>
      </w:r>
      <w:r>
        <w:rPr>
          <w:i/>
          <w:iCs/>
          <w:color w:val="000000"/>
        </w:rPr>
        <w:t>See</w:t>
      </w:r>
      <w:r>
        <w:rPr>
          <w:color w:val="000000"/>
        </w:rPr>
        <w:t xml:space="preserve"> ALI, </w:t>
      </w:r>
      <w:r>
        <w:rPr>
          <w:i/>
          <w:iCs/>
          <w:color w:val="000000"/>
        </w:rPr>
        <w:t>Recognition and Enforcement of Foreign Judgments: Analysis and Proposed Fe</w:t>
      </w:r>
      <w:r>
        <w:rPr>
          <w:i/>
          <w:iCs/>
          <w:color w:val="000000"/>
        </w:rPr>
        <w:t>d</w:t>
      </w:r>
      <w:r>
        <w:rPr>
          <w:i/>
          <w:iCs/>
          <w:color w:val="000000"/>
        </w:rPr>
        <w:t>eral Statute</w:t>
      </w:r>
      <w:r>
        <w:rPr>
          <w:color w:val="000000"/>
        </w:rPr>
        <w:t xml:space="preserve"> § 6 &amp; comments at pp. 84-91 (2005).</w:t>
      </w:r>
    </w:p>
    <w:p w14:paraId="334D3380" w14:textId="77777777" w:rsidR="003C7122" w:rsidRDefault="003C7122">
      <w:pPr>
        <w:widowControl w:val="0"/>
        <w:autoSpaceDE w:val="0"/>
        <w:autoSpaceDN w:val="0"/>
        <w:adjustRightInd w:val="0"/>
        <w:rPr>
          <w:color w:val="000000"/>
          <w:sz w:val="24"/>
          <w:szCs w:val="24"/>
        </w:rPr>
      </w:pPr>
    </w:p>
    <w:p w14:paraId="33BD76D7" w14:textId="77777777" w:rsidR="003C7122" w:rsidRDefault="00D75BF9">
      <w:pPr>
        <w:widowControl w:val="0"/>
        <w:autoSpaceDE w:val="0"/>
        <w:autoSpaceDN w:val="0"/>
        <w:adjustRightInd w:val="0"/>
        <w:ind w:left="900"/>
        <w:jc w:val="both"/>
        <w:rPr>
          <w:color w:val="000000"/>
          <w:sz w:val="24"/>
          <w:szCs w:val="24"/>
        </w:rPr>
      </w:pPr>
      <w:r>
        <w:rPr>
          <w:color w:val="000000"/>
        </w:rPr>
        <w:t>However, Israel appears to accept the passive personality principle as a legitimate basis of jurisdiction and would likely not consider the extraterritorial application of its own law to be unreasonable under ci</w:t>
      </w:r>
      <w:r>
        <w:rPr>
          <w:color w:val="000000"/>
        </w:rPr>
        <w:t>r</w:t>
      </w:r>
      <w:r>
        <w:rPr>
          <w:color w:val="000000"/>
        </w:rPr>
        <w:t xml:space="preserve">cumstances similar to the instant suit. </w:t>
      </w:r>
      <w:r>
        <w:rPr>
          <w:i/>
          <w:iCs/>
          <w:color w:val="000000"/>
        </w:rPr>
        <w:t xml:space="preserve">See </w:t>
      </w:r>
      <w:hyperlink r:id="rId354" w:history="1">
        <w:r>
          <w:rPr>
            <w:i/>
            <w:iCs/>
            <w:color w:val="0000FF"/>
            <w:u w:val="single"/>
          </w:rPr>
          <w:t>Ahmad v. Wigen,</w:t>
        </w:r>
      </w:hyperlink>
      <w:hyperlink r:id="rId355" w:history="1">
        <w:r>
          <w:rPr>
            <w:color w:val="0000FF"/>
            <w:u w:val="single"/>
          </w:rPr>
          <w:t xml:space="preserve"> 726 F.Supp. 389, 398 (E.D.N.Y.1989)</w:t>
        </w:r>
      </w:hyperlink>
      <w:r>
        <w:rPr>
          <w:color w:val="000000"/>
        </w:rPr>
        <w:t xml:space="preserve"> (no</w:t>
      </w:r>
      <w:r>
        <w:rPr>
          <w:color w:val="000000"/>
        </w:rPr>
        <w:t>t</w:t>
      </w:r>
      <w:r>
        <w:rPr>
          <w:color w:val="000000"/>
        </w:rPr>
        <w:t>ing passive personality principle as basis for Israeli law providing jurisdiction over any “person who committed abroad an act which would have been an offense had it been committed in Israel and which injured or was intended to injure the life, person, health, freedom or property of an Israeli national or re</w:t>
      </w:r>
      <w:r>
        <w:rPr>
          <w:color w:val="000000"/>
        </w:rPr>
        <w:t>s</w:t>
      </w:r>
      <w:r>
        <w:rPr>
          <w:color w:val="000000"/>
        </w:rPr>
        <w:t xml:space="preserve">ident of Israel.”); </w:t>
      </w:r>
      <w:r>
        <w:rPr>
          <w:i/>
          <w:iCs/>
          <w:color w:val="000000"/>
        </w:rPr>
        <w:t>see also</w:t>
      </w:r>
      <w:r>
        <w:rPr>
          <w:color w:val="000000"/>
        </w:rPr>
        <w:t xml:space="preserve"> </w:t>
      </w:r>
      <w:hyperlink r:id="rId356" w:history="1">
        <w:r>
          <w:rPr>
            <w:color w:val="0000FF"/>
            <w:u w:val="single"/>
          </w:rPr>
          <w:t>Restatement (Third) of Foreign Relations § 403</w:t>
        </w:r>
      </w:hyperlink>
      <w:r>
        <w:rPr>
          <w:color w:val="000000"/>
        </w:rPr>
        <w:t>, Reporter Note 5 (“[I]t is us</w:t>
      </w:r>
      <w:r>
        <w:rPr>
          <w:color w:val="000000"/>
        </w:rPr>
        <w:t>e</w:t>
      </w:r>
      <w:r>
        <w:rPr>
          <w:color w:val="000000"/>
        </w:rPr>
        <w:t xml:space="preserve">ful to consider whether the regulating state would regard it as reasonable were the other state to exercise regulatory jurisdiction if the circumstances were reversed.”); Roger O'Keefe, </w:t>
      </w:r>
      <w:r>
        <w:rPr>
          <w:i/>
          <w:iCs/>
          <w:color w:val="000000"/>
        </w:rPr>
        <w:t xml:space="preserve">The </w:t>
      </w:r>
      <w:hyperlink r:id="rId357" w:history="1">
        <w:r>
          <w:rPr>
            <w:i/>
            <w:iCs/>
            <w:color w:val="0000FF"/>
            <w:u w:val="single"/>
          </w:rPr>
          <w:t>Grave Breaches R</w:t>
        </w:r>
        <w:r>
          <w:rPr>
            <w:i/>
            <w:iCs/>
            <w:color w:val="0000FF"/>
            <w:u w:val="single"/>
          </w:rPr>
          <w:t>e</w:t>
        </w:r>
        <w:r>
          <w:rPr>
            <w:i/>
            <w:iCs/>
            <w:color w:val="0000FF"/>
            <w:u w:val="single"/>
          </w:rPr>
          <w:t>gime and Universal Jurisdiction,</w:t>
        </w:r>
      </w:hyperlink>
      <w:hyperlink r:id="rId358" w:history="1">
        <w:r>
          <w:rPr>
            <w:color w:val="0000FF"/>
            <w:u w:val="single"/>
          </w:rPr>
          <w:t xml:space="preserve"> 7 J. Int'l Crim. Just. </w:t>
        </w:r>
        <w:proofErr w:type="gramStart"/>
        <w:r>
          <w:rPr>
            <w:color w:val="0000FF"/>
            <w:u w:val="single"/>
          </w:rPr>
          <w:t>811, 825 n. 58 (2009)</w:t>
        </w:r>
      </w:hyperlink>
      <w:r>
        <w:rPr>
          <w:color w:val="000000"/>
        </w:rPr>
        <w:t xml:space="preserve"> (noting reliance by Supreme Court of Israel on passive personality principle).</w:t>
      </w:r>
      <w:proofErr w:type="gramEnd"/>
    </w:p>
    <w:p w14:paraId="0684D892" w14:textId="77777777" w:rsidR="003C7122" w:rsidRDefault="003C7122">
      <w:pPr>
        <w:widowControl w:val="0"/>
        <w:autoSpaceDE w:val="0"/>
        <w:autoSpaceDN w:val="0"/>
        <w:adjustRightInd w:val="0"/>
        <w:rPr>
          <w:color w:val="000000"/>
          <w:sz w:val="24"/>
          <w:szCs w:val="24"/>
        </w:rPr>
      </w:pPr>
    </w:p>
    <w:p w14:paraId="317510F0" w14:textId="77777777" w:rsidR="003C7122" w:rsidRDefault="00D75BF9">
      <w:pPr>
        <w:widowControl w:val="0"/>
        <w:autoSpaceDE w:val="0"/>
        <w:autoSpaceDN w:val="0"/>
        <w:adjustRightInd w:val="0"/>
        <w:ind w:firstLine="360"/>
        <w:jc w:val="both"/>
        <w:rPr>
          <w:color w:val="000000"/>
          <w:sz w:val="24"/>
          <w:szCs w:val="24"/>
        </w:rPr>
      </w:pPr>
      <w:r>
        <w:rPr>
          <w:color w:val="000000"/>
        </w:rPr>
        <w:t>In sum, defendant UBS cites no compelling basis to doubt the correctness of Judge Sifton's conclusion that j</w:t>
      </w:r>
      <w:r>
        <w:rPr>
          <w:color w:val="000000"/>
        </w:rPr>
        <w:t>u</w:t>
      </w:r>
      <w:r>
        <w:rPr>
          <w:color w:val="000000"/>
        </w:rPr>
        <w:t>risdiction was supported by the defendant's continuous presence in New York and the United States' interest in co</w:t>
      </w:r>
      <w:r>
        <w:rPr>
          <w:color w:val="000000"/>
        </w:rPr>
        <w:t>m</w:t>
      </w:r>
      <w:r>
        <w:rPr>
          <w:color w:val="000000"/>
        </w:rPr>
        <w:t>bating terrorism.</w:t>
      </w:r>
    </w:p>
    <w:p w14:paraId="73178DFE" w14:textId="77777777" w:rsidR="003C7122" w:rsidRDefault="003C7122">
      <w:pPr>
        <w:widowControl w:val="0"/>
        <w:autoSpaceDE w:val="0"/>
        <w:autoSpaceDN w:val="0"/>
        <w:adjustRightInd w:val="0"/>
        <w:rPr>
          <w:color w:val="000000"/>
          <w:sz w:val="24"/>
          <w:szCs w:val="24"/>
        </w:rPr>
      </w:pPr>
    </w:p>
    <w:p w14:paraId="69AF3C10" w14:textId="77777777" w:rsidR="003C7122" w:rsidRDefault="00D75BF9">
      <w:pPr>
        <w:widowControl w:val="0"/>
        <w:autoSpaceDE w:val="0"/>
        <w:autoSpaceDN w:val="0"/>
        <w:adjustRightInd w:val="0"/>
        <w:ind w:firstLine="360"/>
        <w:jc w:val="both"/>
        <w:rPr>
          <w:color w:val="000000"/>
          <w:sz w:val="24"/>
          <w:szCs w:val="24"/>
        </w:rPr>
      </w:pPr>
      <w:r>
        <w:rPr>
          <w:color w:val="000000"/>
        </w:rPr>
        <w:t>Defendant's argument for certification also fails because the issue is not a pure question of law. “The ‘question of law’ certified for interlocutory appeal ‘must refer to a “pure” question of law that the reviewing court “could d</w:t>
      </w:r>
      <w:r>
        <w:rPr>
          <w:color w:val="000000"/>
        </w:rPr>
        <w:t>e</w:t>
      </w:r>
      <w:r>
        <w:rPr>
          <w:color w:val="000000"/>
        </w:rPr>
        <w:t xml:space="preserve">cide quickly and cleanly without having to study the record.” ’ ” </w:t>
      </w:r>
      <w:hyperlink r:id="rId359" w:history="1">
        <w:r>
          <w:rPr>
            <w:i/>
            <w:iCs/>
            <w:color w:val="0000FF"/>
            <w:u w:val="single"/>
          </w:rPr>
          <w:t>Morris v. Flaig,</w:t>
        </w:r>
      </w:hyperlink>
      <w:hyperlink r:id="rId360" w:history="1">
        <w:r>
          <w:rPr>
            <w:color w:val="0000FF"/>
            <w:u w:val="single"/>
          </w:rPr>
          <w:t xml:space="preserve"> 511 F.Supp.2d 282, 315 (E.D.N.Y.2007)</w:t>
        </w:r>
      </w:hyperlink>
      <w:r>
        <w:rPr>
          <w:color w:val="000000"/>
        </w:rPr>
        <w:t xml:space="preserve"> (citing </w:t>
      </w:r>
      <w:hyperlink r:id="rId361" w:history="1">
        <w:r>
          <w:rPr>
            <w:i/>
            <w:iCs/>
            <w:color w:val="0000FF"/>
            <w:u w:val="single"/>
          </w:rPr>
          <w:t>In re Worldcom, Inc.,</w:t>
        </w:r>
      </w:hyperlink>
      <w:hyperlink r:id="rId362" w:history="1">
        <w:r>
          <w:rPr>
            <w:color w:val="0000FF"/>
            <w:u w:val="single"/>
          </w:rPr>
          <w:t xml:space="preserve"> No. M-47 HB, 2003 WL 21498904, at *10 (S.D.N.Y. June 30, 2003)</w:t>
        </w:r>
      </w:hyperlink>
      <w:r>
        <w:rPr>
          <w:color w:val="000000"/>
        </w:rPr>
        <w:t xml:space="preserve">). Here, defendant does not argue “that the Court applied the wrong legal </w:t>
      </w:r>
      <w:proofErr w:type="gramStart"/>
      <w:r>
        <w:rPr>
          <w:color w:val="000000"/>
        </w:rPr>
        <w:t>standard ....</w:t>
      </w:r>
      <w:proofErr w:type="gramEnd"/>
      <w:r>
        <w:rPr>
          <w:color w:val="000000"/>
        </w:rPr>
        <w:t xml:space="preserve"> [</w:t>
      </w:r>
      <w:proofErr w:type="gramStart"/>
      <w:r>
        <w:rPr>
          <w:color w:val="000000"/>
        </w:rPr>
        <w:t>r]ather</w:t>
      </w:r>
      <w:proofErr w:type="gramEnd"/>
      <w:r>
        <w:rPr>
          <w:color w:val="000000"/>
        </w:rPr>
        <w:t>, the essence of [defen</w:t>
      </w:r>
      <w:r>
        <w:rPr>
          <w:color w:val="000000"/>
        </w:rPr>
        <w:t>d</w:t>
      </w:r>
      <w:r>
        <w:rPr>
          <w:color w:val="000000"/>
        </w:rPr>
        <w:t xml:space="preserve">ant's] argument is that the Court incorrectly applied the law to the facts presented.” </w:t>
      </w:r>
      <w:hyperlink r:id="rId363" w:history="1">
        <w:r>
          <w:rPr>
            <w:i/>
            <w:iCs/>
            <w:color w:val="0000FF"/>
            <w:u w:val="single"/>
          </w:rPr>
          <w:t>Stone v. Patchett,</w:t>
        </w:r>
      </w:hyperlink>
      <w:hyperlink r:id="rId364" w:history="1">
        <w:r>
          <w:rPr>
            <w:color w:val="0000FF"/>
            <w:u w:val="single"/>
          </w:rPr>
          <w:t xml:space="preserve"> No. 08 CV 5171(RPP), 2009 WL 1544650, at *2 (S.D.N.Y. June 3, 2009)</w:t>
        </w:r>
      </w:hyperlink>
      <w:r>
        <w:rPr>
          <w:color w:val="000000"/>
        </w:rPr>
        <w:t>. Indeed, there is no dispute that, as Judge Sifton sta</w:t>
      </w:r>
      <w:r>
        <w:rPr>
          <w:color w:val="000000"/>
        </w:rPr>
        <w:t>t</w:t>
      </w:r>
      <w:r>
        <w:rPr>
          <w:color w:val="000000"/>
        </w:rPr>
        <w:t xml:space="preserve">ed, the Due Process clause is satisfied where there exists “a ‘sufficient nexus' between the conduct and the United States' interest so that applying U.S. law ‘would not be arbitrary or fundamentally unfair.’ ” </w:t>
      </w:r>
      <w:hyperlink r:id="rId365" w:history="1">
        <w:r>
          <w:rPr>
            <w:i/>
            <w:iCs/>
            <w:color w:val="0000FF"/>
            <w:u w:val="single"/>
          </w:rPr>
          <w:t>Goldberg,</w:t>
        </w:r>
      </w:hyperlink>
      <w:hyperlink r:id="rId366" w:history="1">
        <w:r>
          <w:rPr>
            <w:color w:val="0000FF"/>
            <w:u w:val="single"/>
          </w:rPr>
          <w:t xml:space="preserve"> 660 F.Supp.2d at 431</w:t>
        </w:r>
      </w:hyperlink>
      <w:r>
        <w:rPr>
          <w:color w:val="000000"/>
        </w:rPr>
        <w:t xml:space="preserve"> (quoting </w:t>
      </w:r>
      <w:hyperlink r:id="rId367" w:history="1">
        <w:r>
          <w:rPr>
            <w:i/>
            <w:iCs/>
            <w:color w:val="0000FF"/>
            <w:u w:val="single"/>
          </w:rPr>
          <w:t>Yousef,</w:t>
        </w:r>
      </w:hyperlink>
      <w:hyperlink r:id="rId368" w:history="1">
        <w:r>
          <w:rPr>
            <w:color w:val="0000FF"/>
            <w:u w:val="single"/>
          </w:rPr>
          <w:t xml:space="preserve"> 327 F.3d at 111).</w:t>
        </w:r>
      </w:hyperlink>
      <w:r>
        <w:rPr>
          <w:color w:val="000000"/>
        </w:rPr>
        <w:t xml:space="preserve"> Instead, defendant's only contention is that the nexus in this case was, on the facts presented, insufficient.</w:t>
      </w:r>
      <w:hyperlink w:anchor="Document1zzB030302021482735" w:history="1">
        <w:r>
          <w:rPr>
            <w:color w:val="0000FF"/>
            <w:u w:val="single"/>
            <w:vertAlign w:val="superscript"/>
          </w:rPr>
          <w:t>FN30</w:t>
        </w:r>
      </w:hyperlink>
      <w:bookmarkStart w:id="79" w:name="Document1zzF030302021482735"/>
      <w:bookmarkEnd w:id="79"/>
      <w:r>
        <w:rPr>
          <w:color w:val="000000"/>
        </w:rPr>
        <w:t xml:space="preserve"> Even if a substantial ground for difference of opinion existed as to whether a sufficient nexus exists to ensure a suit against UBS's would not be arbitrary or fundamentally unfair, it is an inquiry requiring resolution of disputed facts rather than an issue of pure law, and accordingly is not an appropr</w:t>
      </w:r>
      <w:r>
        <w:rPr>
          <w:color w:val="000000"/>
        </w:rPr>
        <w:t>i</w:t>
      </w:r>
      <w:r>
        <w:rPr>
          <w:color w:val="000000"/>
        </w:rPr>
        <w:t>ate basis for certifying the September 24th Order for interlocutory review.</w:t>
      </w:r>
    </w:p>
    <w:p w14:paraId="02A01625" w14:textId="77777777" w:rsidR="003C7122" w:rsidRDefault="003C7122">
      <w:pPr>
        <w:widowControl w:val="0"/>
        <w:autoSpaceDE w:val="0"/>
        <w:autoSpaceDN w:val="0"/>
        <w:adjustRightInd w:val="0"/>
        <w:rPr>
          <w:color w:val="000000"/>
          <w:sz w:val="24"/>
          <w:szCs w:val="24"/>
        </w:rPr>
      </w:pPr>
    </w:p>
    <w:p w14:paraId="527E453C" w14:textId="77777777" w:rsidR="003C7122" w:rsidRDefault="00D24980">
      <w:pPr>
        <w:widowControl w:val="0"/>
        <w:autoSpaceDE w:val="0"/>
        <w:autoSpaceDN w:val="0"/>
        <w:adjustRightInd w:val="0"/>
        <w:ind w:left="720"/>
        <w:jc w:val="both"/>
        <w:rPr>
          <w:color w:val="000000"/>
          <w:sz w:val="24"/>
          <w:szCs w:val="24"/>
        </w:rPr>
      </w:pPr>
      <w:hyperlink w:anchor="Document1zzF030302021482735" w:history="1">
        <w:r w:rsidR="00D75BF9">
          <w:rPr>
            <w:color w:val="0000FF"/>
            <w:u w:val="single"/>
          </w:rPr>
          <w:t>FN30.</w:t>
        </w:r>
      </w:hyperlink>
      <w:bookmarkStart w:id="80" w:name="Document1zzB030302021482735"/>
      <w:bookmarkEnd w:id="80"/>
      <w:r w:rsidR="00D75BF9">
        <w:rPr>
          <w:color w:val="000000"/>
        </w:rPr>
        <w:t xml:space="preserve"> Defendant erroneously </w:t>
      </w:r>
      <w:proofErr w:type="gramStart"/>
      <w:r w:rsidR="00D75BF9">
        <w:rPr>
          <w:color w:val="000000"/>
        </w:rPr>
        <w:t>asserts that</w:t>
      </w:r>
      <w:proofErr w:type="gramEnd"/>
      <w:r w:rsidR="00D75BF9">
        <w:rPr>
          <w:color w:val="000000"/>
        </w:rPr>
        <w:t xml:space="preserve"> “because the Complaint's allegations are assumed to be true on appeal of a Rule 12(b)(5) motion, there would be no factual disputes for the Second Circuit to resolve.” Def. Cert. Br. at 6. However, because the nexus requirement is a component of the jurisdictional requir</w:t>
      </w:r>
      <w:r w:rsidR="00D75BF9">
        <w:rPr>
          <w:color w:val="000000"/>
        </w:rPr>
        <w:t>e</w:t>
      </w:r>
      <w:r w:rsidR="00D75BF9">
        <w:rPr>
          <w:color w:val="000000"/>
        </w:rPr>
        <w:t>ment, “the court has the power and the obligation to consider matters outside the pleadings, such as affid</w:t>
      </w:r>
      <w:r w:rsidR="00D75BF9">
        <w:rPr>
          <w:color w:val="000000"/>
        </w:rPr>
        <w:t>a</w:t>
      </w:r>
      <w:r w:rsidR="00D75BF9">
        <w:rPr>
          <w:color w:val="000000"/>
        </w:rPr>
        <w:t xml:space="preserve">vits, documents, and testimony, to determine whether jurisdiction exists.” </w:t>
      </w:r>
      <w:hyperlink r:id="rId369" w:history="1">
        <w:r w:rsidR="00D75BF9">
          <w:rPr>
            <w:i/>
            <w:iCs/>
            <w:color w:val="0000FF"/>
            <w:u w:val="single"/>
          </w:rPr>
          <w:t>Parks v. Office of Temporary and Disability Assistance,</w:t>
        </w:r>
      </w:hyperlink>
      <w:hyperlink r:id="rId370" w:history="1">
        <w:r w:rsidR="00D75BF9">
          <w:rPr>
            <w:color w:val="0000FF"/>
            <w:u w:val="single"/>
          </w:rPr>
          <w:t xml:space="preserve"> No. 09 Civ. 3079(JGK), 675 F.Supp.2d 440, 441 (S.D.N.Y.2009)</w:t>
        </w:r>
      </w:hyperlink>
      <w:r w:rsidR="00D75BF9">
        <w:rPr>
          <w:color w:val="000000"/>
        </w:rPr>
        <w:t xml:space="preserve">; </w:t>
      </w:r>
      <w:r w:rsidR="00D75BF9">
        <w:rPr>
          <w:i/>
          <w:iCs/>
          <w:color w:val="000000"/>
        </w:rPr>
        <w:t xml:space="preserve">see also </w:t>
      </w:r>
      <w:hyperlink r:id="rId371" w:history="1">
        <w:r w:rsidR="00D75BF9">
          <w:rPr>
            <w:i/>
            <w:iCs/>
            <w:color w:val="0000FF"/>
            <w:u w:val="single"/>
          </w:rPr>
          <w:t>U.S. v. Klimavicius-Viloria,</w:t>
        </w:r>
      </w:hyperlink>
      <w:hyperlink r:id="rId372" w:history="1">
        <w:r w:rsidR="00D75BF9">
          <w:rPr>
            <w:color w:val="0000FF"/>
            <w:u w:val="single"/>
          </w:rPr>
          <w:t xml:space="preserve"> 144 F.3d 1249, 1257 (9th Cir.1998)</w:t>
        </w:r>
      </w:hyperlink>
      <w:r w:rsidR="00D75BF9">
        <w:rPr>
          <w:color w:val="000000"/>
        </w:rPr>
        <w:t xml:space="preserve"> (“the question of nexus ... is part of the jurisdi</w:t>
      </w:r>
      <w:r w:rsidR="00D75BF9">
        <w:rPr>
          <w:color w:val="000000"/>
        </w:rPr>
        <w:t>c</w:t>
      </w:r>
      <w:r w:rsidR="00D75BF9">
        <w:rPr>
          <w:color w:val="000000"/>
        </w:rPr>
        <w:t>tional requirement.”).</w:t>
      </w:r>
    </w:p>
    <w:p w14:paraId="5132E6B0" w14:textId="77777777" w:rsidR="003C7122" w:rsidRDefault="003C7122">
      <w:pPr>
        <w:widowControl w:val="0"/>
        <w:autoSpaceDE w:val="0"/>
        <w:autoSpaceDN w:val="0"/>
        <w:adjustRightInd w:val="0"/>
        <w:rPr>
          <w:color w:val="000000"/>
          <w:sz w:val="24"/>
          <w:szCs w:val="24"/>
        </w:rPr>
      </w:pPr>
    </w:p>
    <w:p w14:paraId="28C8E141" w14:textId="77777777" w:rsidR="003C7122" w:rsidRDefault="00D75BF9">
      <w:pPr>
        <w:widowControl w:val="0"/>
        <w:autoSpaceDE w:val="0"/>
        <w:autoSpaceDN w:val="0"/>
        <w:adjustRightInd w:val="0"/>
        <w:jc w:val="both"/>
        <w:rPr>
          <w:color w:val="000000"/>
          <w:sz w:val="24"/>
          <w:szCs w:val="24"/>
        </w:rPr>
      </w:pPr>
      <w:r>
        <w:rPr>
          <w:b/>
          <w:bCs/>
          <w:color w:val="000000"/>
        </w:rPr>
        <w:t xml:space="preserve">d. Whether a violation of </w:t>
      </w:r>
      <w:hyperlink r:id="rId373" w:history="1">
        <w:r>
          <w:rPr>
            <w:b/>
            <w:bCs/>
            <w:color w:val="0000FF"/>
            <w:u w:val="single"/>
          </w:rPr>
          <w:t>18 U.S.C. §§ 2339B</w:t>
        </w:r>
      </w:hyperlink>
      <w:r>
        <w:rPr>
          <w:b/>
          <w:bCs/>
          <w:color w:val="000000"/>
        </w:rPr>
        <w:t xml:space="preserve"> or </w:t>
      </w:r>
      <w:hyperlink r:id="rId374" w:history="1">
        <w:r>
          <w:rPr>
            <w:b/>
            <w:bCs/>
            <w:color w:val="0000FF"/>
            <w:u w:val="single"/>
          </w:rPr>
          <w:t>2339C</w:t>
        </w:r>
      </w:hyperlink>
      <w:r>
        <w:rPr>
          <w:b/>
          <w:bCs/>
          <w:color w:val="000000"/>
        </w:rPr>
        <w:t xml:space="preserve"> Will Necessarily Qualify as “International Terrorism” Under </w:t>
      </w:r>
      <w:hyperlink r:id="rId375" w:history="1">
        <w:r>
          <w:rPr>
            <w:b/>
            <w:bCs/>
            <w:color w:val="0000FF"/>
            <w:u w:val="single"/>
          </w:rPr>
          <w:t>18 U.S.C. 2331(1)</w:t>
        </w:r>
      </w:hyperlink>
    </w:p>
    <w:p w14:paraId="3D7642FF" w14:textId="77777777" w:rsidR="003C7122" w:rsidRDefault="00D75BF9">
      <w:pPr>
        <w:widowControl w:val="0"/>
        <w:autoSpaceDE w:val="0"/>
        <w:autoSpaceDN w:val="0"/>
        <w:adjustRightInd w:val="0"/>
        <w:ind w:firstLine="360"/>
        <w:jc w:val="both"/>
        <w:rPr>
          <w:color w:val="000000"/>
          <w:sz w:val="24"/>
          <w:szCs w:val="24"/>
        </w:rPr>
      </w:pPr>
      <w:r>
        <w:rPr>
          <w:color w:val="000000"/>
        </w:rPr>
        <w:t>Defendant's final asserted ground for certification concerns the September 24th Order's conclusion that civil li</w:t>
      </w:r>
      <w:r>
        <w:rPr>
          <w:color w:val="000000"/>
        </w:rPr>
        <w:t>a</w:t>
      </w:r>
      <w:r>
        <w:rPr>
          <w:color w:val="000000"/>
        </w:rPr>
        <w:t xml:space="preserve">bility under </w:t>
      </w:r>
      <w:hyperlink r:id="rId376" w:history="1">
        <w:r>
          <w:rPr>
            <w:color w:val="0000FF"/>
            <w:u w:val="single"/>
          </w:rPr>
          <w:t>section 2333(a)</w:t>
        </w:r>
      </w:hyperlink>
      <w:r>
        <w:rPr>
          <w:color w:val="000000"/>
        </w:rPr>
        <w:t xml:space="preserve"> may be adequately pled by alleging a violation of </w:t>
      </w:r>
      <w:hyperlink r:id="rId377" w:history="1">
        <w:r>
          <w:rPr>
            <w:color w:val="0000FF"/>
            <w:u w:val="single"/>
          </w:rPr>
          <w:t>18 U.S.C. §§ 2339B</w:t>
        </w:r>
      </w:hyperlink>
      <w:r>
        <w:rPr>
          <w:color w:val="000000"/>
        </w:rPr>
        <w:t xml:space="preserve"> or </w:t>
      </w:r>
      <w:hyperlink r:id="rId378" w:history="1">
        <w:r>
          <w:rPr>
            <w:color w:val="0000FF"/>
            <w:u w:val="single"/>
          </w:rPr>
          <w:t>2339C</w:t>
        </w:r>
      </w:hyperlink>
      <w:r>
        <w:rPr>
          <w:color w:val="000000"/>
        </w:rPr>
        <w:t>.</w:t>
      </w:r>
    </w:p>
    <w:p w14:paraId="7CF4F5F1" w14:textId="77777777" w:rsidR="003C7122" w:rsidRDefault="003C7122">
      <w:pPr>
        <w:widowControl w:val="0"/>
        <w:autoSpaceDE w:val="0"/>
        <w:autoSpaceDN w:val="0"/>
        <w:adjustRightInd w:val="0"/>
        <w:rPr>
          <w:color w:val="000000"/>
          <w:sz w:val="24"/>
          <w:szCs w:val="24"/>
        </w:rPr>
      </w:pPr>
    </w:p>
    <w:p w14:paraId="5C8C1F6D"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To situate the issue in its statutory context, </w:t>
      </w:r>
      <w:proofErr w:type="gramStart"/>
      <w:r>
        <w:rPr>
          <w:color w:val="000000"/>
        </w:rPr>
        <w:t>plaintiff's</w:t>
      </w:r>
      <w:proofErr w:type="gramEnd"/>
      <w:r>
        <w:rPr>
          <w:color w:val="000000"/>
        </w:rPr>
        <w:t xml:space="preserve"> seek damages under </w:t>
      </w:r>
      <w:hyperlink r:id="rId379" w:history="1">
        <w:r>
          <w:rPr>
            <w:color w:val="0000FF"/>
            <w:u w:val="single"/>
          </w:rPr>
          <w:t>18 U.S.C. § 2333(a)</w:t>
        </w:r>
      </w:hyperlink>
      <w:r>
        <w:rPr>
          <w:color w:val="000000"/>
        </w:rPr>
        <w:t>, which provides:</w:t>
      </w:r>
    </w:p>
    <w:p w14:paraId="069E82A0" w14:textId="77777777" w:rsidR="003C7122" w:rsidRDefault="003C7122">
      <w:pPr>
        <w:widowControl w:val="0"/>
        <w:autoSpaceDE w:val="0"/>
        <w:autoSpaceDN w:val="0"/>
        <w:adjustRightInd w:val="0"/>
        <w:rPr>
          <w:color w:val="000000"/>
          <w:sz w:val="24"/>
          <w:szCs w:val="24"/>
        </w:rPr>
      </w:pPr>
    </w:p>
    <w:p w14:paraId="0A05E86E" w14:textId="77777777" w:rsidR="003C7122" w:rsidRDefault="00D75BF9">
      <w:pPr>
        <w:widowControl w:val="0"/>
        <w:autoSpaceDE w:val="0"/>
        <w:autoSpaceDN w:val="0"/>
        <w:adjustRightInd w:val="0"/>
        <w:ind w:left="180"/>
        <w:jc w:val="both"/>
        <w:rPr>
          <w:color w:val="000000"/>
          <w:sz w:val="24"/>
          <w:szCs w:val="24"/>
        </w:rPr>
      </w:pPr>
      <w:r>
        <w:rPr>
          <w:color w:val="000000"/>
        </w:rPr>
        <w:t>Any national of the United States injured in his or her person, property, or business by reason of an act of intern</w:t>
      </w:r>
      <w:r>
        <w:rPr>
          <w:color w:val="000000"/>
        </w:rPr>
        <w:t>a</w:t>
      </w:r>
      <w:r>
        <w:rPr>
          <w:color w:val="000000"/>
        </w:rPr>
        <w:t>tional terrorism, or his or her estate, survivors, or heirs, may sue therefor in any appropriate district court of the United States and shall recover threefold the damages he or she sustains and the cost of the suit, including atto</w:t>
      </w:r>
      <w:r>
        <w:rPr>
          <w:color w:val="000000"/>
        </w:rPr>
        <w:t>r</w:t>
      </w:r>
      <w:r>
        <w:rPr>
          <w:color w:val="000000"/>
        </w:rPr>
        <w:t>ney's fees</w:t>
      </w:r>
    </w:p>
    <w:p w14:paraId="1FB26F32" w14:textId="77777777" w:rsidR="003C7122" w:rsidRDefault="003C7122">
      <w:pPr>
        <w:widowControl w:val="0"/>
        <w:autoSpaceDE w:val="0"/>
        <w:autoSpaceDN w:val="0"/>
        <w:adjustRightInd w:val="0"/>
        <w:rPr>
          <w:color w:val="000000"/>
          <w:sz w:val="24"/>
          <w:szCs w:val="24"/>
        </w:rPr>
      </w:pPr>
    </w:p>
    <w:p w14:paraId="1B60A396"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The term “international terrorism” is defined for purposes of the ATA in </w:t>
      </w:r>
      <w:hyperlink r:id="rId380" w:history="1">
        <w:r>
          <w:rPr>
            <w:color w:val="0000FF"/>
            <w:u w:val="single"/>
          </w:rPr>
          <w:t>18 U.S.C. § 2331(1)</w:t>
        </w:r>
      </w:hyperlink>
      <w:r>
        <w:rPr>
          <w:color w:val="000000"/>
        </w:rPr>
        <w:t>:</w:t>
      </w:r>
    </w:p>
    <w:p w14:paraId="657083D6" w14:textId="77777777" w:rsidR="003C7122" w:rsidRDefault="00D75BF9">
      <w:pPr>
        <w:widowControl w:val="0"/>
        <w:autoSpaceDE w:val="0"/>
        <w:autoSpaceDN w:val="0"/>
        <w:adjustRightInd w:val="0"/>
        <w:ind w:left="180"/>
        <w:jc w:val="both"/>
        <w:rPr>
          <w:color w:val="000000"/>
          <w:sz w:val="24"/>
          <w:szCs w:val="24"/>
        </w:rPr>
      </w:pPr>
      <w:r>
        <w:rPr>
          <w:color w:val="000000"/>
        </w:rPr>
        <w:t xml:space="preserve">(1) </w:t>
      </w:r>
      <w:proofErr w:type="gramStart"/>
      <w:r>
        <w:rPr>
          <w:color w:val="000000"/>
        </w:rPr>
        <w:t>the</w:t>
      </w:r>
      <w:proofErr w:type="gramEnd"/>
      <w:r>
        <w:rPr>
          <w:color w:val="000000"/>
        </w:rPr>
        <w:t xml:space="preserve"> term “international terrorism” means activities that-</w:t>
      </w:r>
    </w:p>
    <w:p w14:paraId="287E9A7C" w14:textId="77777777" w:rsidR="003C7122" w:rsidRDefault="003C7122">
      <w:pPr>
        <w:widowControl w:val="0"/>
        <w:autoSpaceDE w:val="0"/>
        <w:autoSpaceDN w:val="0"/>
        <w:adjustRightInd w:val="0"/>
        <w:rPr>
          <w:color w:val="000000"/>
          <w:sz w:val="24"/>
          <w:szCs w:val="24"/>
        </w:rPr>
      </w:pPr>
    </w:p>
    <w:p w14:paraId="1BF9568C" w14:textId="77777777" w:rsidR="003C7122" w:rsidRDefault="00D75BF9">
      <w:pPr>
        <w:widowControl w:val="0"/>
        <w:autoSpaceDE w:val="0"/>
        <w:autoSpaceDN w:val="0"/>
        <w:adjustRightInd w:val="0"/>
        <w:ind w:left="180"/>
        <w:jc w:val="both"/>
        <w:rPr>
          <w:color w:val="000000"/>
          <w:sz w:val="24"/>
          <w:szCs w:val="24"/>
        </w:rPr>
      </w:pPr>
      <w:r>
        <w:rPr>
          <w:color w:val="000000"/>
        </w:rPr>
        <w:t xml:space="preserve">(A) </w:t>
      </w:r>
      <w:proofErr w:type="gramStart"/>
      <w:r>
        <w:rPr>
          <w:color w:val="000000"/>
        </w:rPr>
        <w:t>involve</w:t>
      </w:r>
      <w:proofErr w:type="gramEnd"/>
      <w:r>
        <w:rPr>
          <w:color w:val="000000"/>
        </w:rPr>
        <w:t xml:space="preserve"> violent acts or acts dangerous to human life that are a violation of the criminal laws of the United States or of any State, or that would be a criminal violation if committed within the jurisdiction of the United States or of any State;</w:t>
      </w:r>
    </w:p>
    <w:p w14:paraId="477A07FC" w14:textId="77777777" w:rsidR="003C7122" w:rsidRDefault="003C7122">
      <w:pPr>
        <w:widowControl w:val="0"/>
        <w:autoSpaceDE w:val="0"/>
        <w:autoSpaceDN w:val="0"/>
        <w:adjustRightInd w:val="0"/>
        <w:rPr>
          <w:color w:val="000000"/>
          <w:sz w:val="24"/>
          <w:szCs w:val="24"/>
        </w:rPr>
      </w:pPr>
    </w:p>
    <w:p w14:paraId="2F912132" w14:textId="77777777" w:rsidR="003C7122" w:rsidRDefault="00D75BF9">
      <w:pPr>
        <w:widowControl w:val="0"/>
        <w:autoSpaceDE w:val="0"/>
        <w:autoSpaceDN w:val="0"/>
        <w:adjustRightInd w:val="0"/>
        <w:ind w:left="180"/>
        <w:jc w:val="both"/>
        <w:rPr>
          <w:color w:val="000000"/>
          <w:sz w:val="24"/>
          <w:szCs w:val="24"/>
        </w:rPr>
      </w:pPr>
      <w:r>
        <w:rPr>
          <w:color w:val="000000"/>
        </w:rPr>
        <w:t xml:space="preserve">(B) </w:t>
      </w:r>
      <w:proofErr w:type="gramStart"/>
      <w:r>
        <w:rPr>
          <w:color w:val="000000"/>
        </w:rPr>
        <w:t>appear</w:t>
      </w:r>
      <w:proofErr w:type="gramEnd"/>
      <w:r>
        <w:rPr>
          <w:color w:val="000000"/>
        </w:rPr>
        <w:t xml:space="preserve"> to be intended-</w:t>
      </w:r>
    </w:p>
    <w:p w14:paraId="6DB33C0D" w14:textId="77777777" w:rsidR="003C7122" w:rsidRDefault="003C7122">
      <w:pPr>
        <w:widowControl w:val="0"/>
        <w:autoSpaceDE w:val="0"/>
        <w:autoSpaceDN w:val="0"/>
        <w:adjustRightInd w:val="0"/>
        <w:rPr>
          <w:color w:val="000000"/>
          <w:sz w:val="24"/>
          <w:szCs w:val="24"/>
        </w:rPr>
      </w:pPr>
    </w:p>
    <w:p w14:paraId="1013A41B" w14:textId="77777777" w:rsidR="003C7122" w:rsidRDefault="00D75BF9">
      <w:pPr>
        <w:widowControl w:val="0"/>
        <w:autoSpaceDE w:val="0"/>
        <w:autoSpaceDN w:val="0"/>
        <w:adjustRightInd w:val="0"/>
        <w:ind w:left="180"/>
        <w:jc w:val="both"/>
        <w:rPr>
          <w:color w:val="000000"/>
          <w:sz w:val="24"/>
          <w:szCs w:val="24"/>
        </w:rPr>
      </w:pPr>
      <w:r>
        <w:rPr>
          <w:color w:val="000000"/>
        </w:rPr>
        <w:t xml:space="preserve">(i) </w:t>
      </w:r>
      <w:proofErr w:type="gramStart"/>
      <w:r>
        <w:rPr>
          <w:color w:val="000000"/>
        </w:rPr>
        <w:t>to</w:t>
      </w:r>
      <w:proofErr w:type="gramEnd"/>
      <w:r>
        <w:rPr>
          <w:color w:val="000000"/>
        </w:rPr>
        <w:t xml:space="preserve"> intimidate or coerce a civilian population;</w:t>
      </w:r>
    </w:p>
    <w:p w14:paraId="5C8B4A24" w14:textId="77777777" w:rsidR="003C7122" w:rsidRDefault="003C7122">
      <w:pPr>
        <w:widowControl w:val="0"/>
        <w:autoSpaceDE w:val="0"/>
        <w:autoSpaceDN w:val="0"/>
        <w:adjustRightInd w:val="0"/>
        <w:rPr>
          <w:color w:val="000000"/>
          <w:sz w:val="24"/>
          <w:szCs w:val="24"/>
        </w:rPr>
      </w:pPr>
    </w:p>
    <w:p w14:paraId="66A838F8" w14:textId="77777777" w:rsidR="003C7122" w:rsidRDefault="00D75BF9">
      <w:pPr>
        <w:widowControl w:val="0"/>
        <w:autoSpaceDE w:val="0"/>
        <w:autoSpaceDN w:val="0"/>
        <w:adjustRightInd w:val="0"/>
        <w:ind w:left="180"/>
        <w:jc w:val="both"/>
        <w:rPr>
          <w:color w:val="000000"/>
          <w:sz w:val="24"/>
          <w:szCs w:val="24"/>
        </w:rPr>
      </w:pPr>
      <w:r>
        <w:rPr>
          <w:color w:val="000000"/>
        </w:rPr>
        <w:t xml:space="preserve">(ii) </w:t>
      </w:r>
      <w:proofErr w:type="gramStart"/>
      <w:r>
        <w:rPr>
          <w:color w:val="000000"/>
        </w:rPr>
        <w:t>to</w:t>
      </w:r>
      <w:proofErr w:type="gramEnd"/>
      <w:r>
        <w:rPr>
          <w:color w:val="000000"/>
        </w:rPr>
        <w:t xml:space="preserve"> influence the policy of a government by intimidation or coercion; or</w:t>
      </w:r>
    </w:p>
    <w:p w14:paraId="5E9E5F87" w14:textId="77777777" w:rsidR="003C7122" w:rsidRDefault="003C7122">
      <w:pPr>
        <w:widowControl w:val="0"/>
        <w:autoSpaceDE w:val="0"/>
        <w:autoSpaceDN w:val="0"/>
        <w:adjustRightInd w:val="0"/>
        <w:rPr>
          <w:color w:val="000000"/>
          <w:sz w:val="24"/>
          <w:szCs w:val="24"/>
        </w:rPr>
      </w:pPr>
    </w:p>
    <w:p w14:paraId="7CC3AB49" w14:textId="77777777" w:rsidR="003C7122" w:rsidRDefault="00D75BF9">
      <w:pPr>
        <w:widowControl w:val="0"/>
        <w:autoSpaceDE w:val="0"/>
        <w:autoSpaceDN w:val="0"/>
        <w:adjustRightInd w:val="0"/>
        <w:ind w:left="180"/>
        <w:jc w:val="both"/>
        <w:rPr>
          <w:color w:val="000000"/>
          <w:sz w:val="24"/>
          <w:szCs w:val="24"/>
        </w:rPr>
      </w:pPr>
      <w:r>
        <w:rPr>
          <w:color w:val="000000"/>
        </w:rPr>
        <w:t xml:space="preserve">(iii) </w:t>
      </w:r>
      <w:proofErr w:type="gramStart"/>
      <w:r>
        <w:rPr>
          <w:color w:val="000000"/>
        </w:rPr>
        <w:t>to</w:t>
      </w:r>
      <w:proofErr w:type="gramEnd"/>
      <w:r>
        <w:rPr>
          <w:color w:val="000000"/>
        </w:rPr>
        <w:t xml:space="preserve"> affect the conduct of a government by mass destruction, assassination, or kidnapping; and</w:t>
      </w:r>
    </w:p>
    <w:p w14:paraId="798F0946" w14:textId="77777777" w:rsidR="003C7122" w:rsidRDefault="003C7122">
      <w:pPr>
        <w:widowControl w:val="0"/>
        <w:autoSpaceDE w:val="0"/>
        <w:autoSpaceDN w:val="0"/>
        <w:adjustRightInd w:val="0"/>
        <w:rPr>
          <w:color w:val="000000"/>
          <w:sz w:val="24"/>
          <w:szCs w:val="24"/>
        </w:rPr>
      </w:pPr>
    </w:p>
    <w:p w14:paraId="7F63C913" w14:textId="77777777" w:rsidR="003C7122" w:rsidRDefault="00D75BF9">
      <w:pPr>
        <w:widowControl w:val="0"/>
        <w:autoSpaceDE w:val="0"/>
        <w:autoSpaceDN w:val="0"/>
        <w:adjustRightInd w:val="0"/>
        <w:ind w:left="180"/>
        <w:jc w:val="both"/>
        <w:rPr>
          <w:color w:val="000000"/>
          <w:sz w:val="24"/>
          <w:szCs w:val="24"/>
        </w:rPr>
      </w:pPr>
      <w:r>
        <w:rPr>
          <w:color w:val="000000"/>
        </w:rPr>
        <w:t xml:space="preserve">(C) </w:t>
      </w:r>
      <w:proofErr w:type="gramStart"/>
      <w:r>
        <w:rPr>
          <w:color w:val="000000"/>
        </w:rPr>
        <w:t>occur</w:t>
      </w:r>
      <w:proofErr w:type="gramEnd"/>
      <w:r>
        <w:rPr>
          <w:color w:val="000000"/>
        </w:rPr>
        <w:t xml:space="preserve"> primarily outside the territorial jurisdiction of the United States, or transcend national boundaries in terms of the means by which they are accomplished, the persons they appear intended to intimidate or coerce, or the locale in which their perpetrators operate or seek asylum.</w:t>
      </w:r>
    </w:p>
    <w:p w14:paraId="3225C77A" w14:textId="77777777" w:rsidR="003C7122" w:rsidRDefault="003C7122">
      <w:pPr>
        <w:widowControl w:val="0"/>
        <w:autoSpaceDE w:val="0"/>
        <w:autoSpaceDN w:val="0"/>
        <w:adjustRightInd w:val="0"/>
        <w:rPr>
          <w:color w:val="000000"/>
          <w:sz w:val="24"/>
          <w:szCs w:val="24"/>
        </w:rPr>
      </w:pPr>
    </w:p>
    <w:p w14:paraId="6E626A9C"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At issue is whether a violation of </w:t>
      </w:r>
      <w:hyperlink r:id="rId381" w:history="1">
        <w:r>
          <w:rPr>
            <w:color w:val="0000FF"/>
            <w:u w:val="single"/>
          </w:rPr>
          <w:t>§§ 2339B</w:t>
        </w:r>
      </w:hyperlink>
      <w:r>
        <w:rPr>
          <w:color w:val="000000"/>
        </w:rPr>
        <w:t xml:space="preserve"> or </w:t>
      </w:r>
      <w:hyperlink r:id="rId382" w:history="1">
        <w:r>
          <w:rPr>
            <w:color w:val="0000FF"/>
            <w:u w:val="single"/>
          </w:rPr>
          <w:t>2339C</w:t>
        </w:r>
      </w:hyperlink>
      <w:r>
        <w:rPr>
          <w:color w:val="000000"/>
        </w:rPr>
        <w:t>, which provide criminal penalties for the provision of funds or material support to terrorists,</w:t>
      </w:r>
      <w:hyperlink w:anchor="Document1zzB031312021482735" w:history="1">
        <w:r>
          <w:rPr>
            <w:color w:val="0000FF"/>
            <w:u w:val="single"/>
            <w:vertAlign w:val="superscript"/>
          </w:rPr>
          <w:t>FN31</w:t>
        </w:r>
      </w:hyperlink>
      <w:bookmarkStart w:id="81" w:name="Document1zzF031312021482735"/>
      <w:bookmarkEnd w:id="81"/>
      <w:r>
        <w:rPr>
          <w:color w:val="000000"/>
        </w:rPr>
        <w:t xml:space="preserve"> satisfies </w:t>
      </w:r>
      <w:hyperlink r:id="rId383" w:history="1">
        <w:r>
          <w:rPr>
            <w:color w:val="0000FF"/>
            <w:u w:val="single"/>
          </w:rPr>
          <w:t>§ 2331(1)(B)</w:t>
        </w:r>
      </w:hyperlink>
      <w:r>
        <w:rPr>
          <w:color w:val="000000"/>
        </w:rPr>
        <w:t>'s “appears to be intended” prong.</w:t>
      </w:r>
    </w:p>
    <w:p w14:paraId="50A0D3F6" w14:textId="77777777" w:rsidR="003C7122" w:rsidRDefault="003C7122">
      <w:pPr>
        <w:widowControl w:val="0"/>
        <w:autoSpaceDE w:val="0"/>
        <w:autoSpaceDN w:val="0"/>
        <w:adjustRightInd w:val="0"/>
        <w:rPr>
          <w:color w:val="000000"/>
          <w:sz w:val="24"/>
          <w:szCs w:val="24"/>
        </w:rPr>
      </w:pPr>
    </w:p>
    <w:p w14:paraId="44F076C8" w14:textId="77777777" w:rsidR="003C7122" w:rsidRDefault="00D24980">
      <w:pPr>
        <w:widowControl w:val="0"/>
        <w:autoSpaceDE w:val="0"/>
        <w:autoSpaceDN w:val="0"/>
        <w:adjustRightInd w:val="0"/>
        <w:ind w:left="720"/>
        <w:jc w:val="both"/>
        <w:rPr>
          <w:color w:val="000000"/>
          <w:sz w:val="24"/>
          <w:szCs w:val="24"/>
        </w:rPr>
      </w:pPr>
      <w:hyperlink w:anchor="Document1zzF031312021482735" w:history="1">
        <w:r w:rsidR="00D75BF9">
          <w:rPr>
            <w:color w:val="0000FF"/>
            <w:u w:val="single"/>
          </w:rPr>
          <w:t>FN31.</w:t>
        </w:r>
      </w:hyperlink>
      <w:bookmarkStart w:id="82" w:name="Document1zzB031312021482735"/>
      <w:bookmarkEnd w:id="82"/>
      <w:r w:rsidR="00D75BF9">
        <w:rPr>
          <w:color w:val="000000"/>
        </w:rPr>
        <w:t xml:space="preserve"> </w:t>
      </w:r>
      <w:hyperlink r:id="rId384" w:history="1">
        <w:r w:rsidR="00D75BF9">
          <w:rPr>
            <w:color w:val="0000FF"/>
            <w:u w:val="single"/>
          </w:rPr>
          <w:t>18 U.S.C. § 2339B</w:t>
        </w:r>
      </w:hyperlink>
      <w:r w:rsidR="00D75BF9">
        <w:rPr>
          <w:color w:val="000000"/>
        </w:rPr>
        <w:t xml:space="preserve"> provides:</w:t>
      </w:r>
    </w:p>
    <w:p w14:paraId="5809BE81" w14:textId="77777777" w:rsidR="003C7122" w:rsidRDefault="003C7122">
      <w:pPr>
        <w:widowControl w:val="0"/>
        <w:autoSpaceDE w:val="0"/>
        <w:autoSpaceDN w:val="0"/>
        <w:adjustRightInd w:val="0"/>
        <w:rPr>
          <w:color w:val="000000"/>
          <w:sz w:val="24"/>
          <w:szCs w:val="24"/>
        </w:rPr>
      </w:pPr>
    </w:p>
    <w:p w14:paraId="08DE51A1" w14:textId="77777777" w:rsidR="003C7122" w:rsidRDefault="00D75BF9">
      <w:pPr>
        <w:widowControl w:val="0"/>
        <w:autoSpaceDE w:val="0"/>
        <w:autoSpaceDN w:val="0"/>
        <w:adjustRightInd w:val="0"/>
        <w:ind w:left="900"/>
        <w:jc w:val="both"/>
        <w:rPr>
          <w:color w:val="000000"/>
          <w:sz w:val="24"/>
          <w:szCs w:val="24"/>
        </w:rPr>
      </w:pPr>
      <w:r>
        <w:rPr>
          <w:color w:val="000000"/>
        </w:rPr>
        <w:t>Whoever knowingly provides material support or resources to a foreign terrorist organization, or attempts or conspires to do so, shall be fined under this title or imprisoned not more than 15 years, or both, and, if the death of any person results, shall be imprisoned for any term of years or for life. To violate this par</w:t>
      </w:r>
      <w:r>
        <w:rPr>
          <w:color w:val="000000"/>
        </w:rPr>
        <w:t>a</w:t>
      </w:r>
      <w:r>
        <w:rPr>
          <w:color w:val="000000"/>
        </w:rPr>
        <w:t>graph, a person must have knowledge that the organization is a designated terrorist organization (as d</w:t>
      </w:r>
      <w:r>
        <w:rPr>
          <w:color w:val="000000"/>
        </w:rPr>
        <w:t>e</w:t>
      </w:r>
      <w:r>
        <w:rPr>
          <w:color w:val="000000"/>
        </w:rPr>
        <w:t>fined in subsection (g)(6)), that the organization has engaged or engages in terrorist activity (as defined in section 212(a)(3)(B) of the Immigration and Nationality Act), or that the organization has engaged or e</w:t>
      </w:r>
      <w:r>
        <w:rPr>
          <w:color w:val="000000"/>
        </w:rPr>
        <w:t>n</w:t>
      </w:r>
      <w:r>
        <w:rPr>
          <w:color w:val="000000"/>
        </w:rPr>
        <w:t>gages in terrorism (as defined in section 140(d)(2) of the Foreign Relations Authorization Act, Fiscal Years 1988 and 1989).</w:t>
      </w:r>
    </w:p>
    <w:p w14:paraId="53EE3D24" w14:textId="77777777" w:rsidR="003C7122" w:rsidRDefault="003C7122">
      <w:pPr>
        <w:widowControl w:val="0"/>
        <w:autoSpaceDE w:val="0"/>
        <w:autoSpaceDN w:val="0"/>
        <w:adjustRightInd w:val="0"/>
        <w:rPr>
          <w:color w:val="000000"/>
          <w:sz w:val="24"/>
          <w:szCs w:val="24"/>
        </w:rPr>
      </w:pPr>
    </w:p>
    <w:p w14:paraId="75AC7BFF" w14:textId="77777777" w:rsidR="003C7122" w:rsidRDefault="00D24980">
      <w:pPr>
        <w:widowControl w:val="0"/>
        <w:autoSpaceDE w:val="0"/>
        <w:autoSpaceDN w:val="0"/>
        <w:adjustRightInd w:val="0"/>
        <w:ind w:left="900"/>
        <w:jc w:val="both"/>
        <w:rPr>
          <w:color w:val="000000"/>
          <w:sz w:val="24"/>
          <w:szCs w:val="24"/>
        </w:rPr>
      </w:pPr>
      <w:hyperlink r:id="rId385" w:history="1">
        <w:r w:rsidR="00D75BF9">
          <w:rPr>
            <w:color w:val="0000FF"/>
            <w:u w:val="single"/>
          </w:rPr>
          <w:t>18 U.S.C. § 2339C</w:t>
        </w:r>
      </w:hyperlink>
      <w:r w:rsidR="00D75BF9">
        <w:rPr>
          <w:color w:val="000000"/>
        </w:rPr>
        <w:t xml:space="preserve"> provides criminal penalties for whomever</w:t>
      </w:r>
    </w:p>
    <w:p w14:paraId="751DD161" w14:textId="77777777" w:rsidR="003C7122" w:rsidRDefault="003C7122">
      <w:pPr>
        <w:widowControl w:val="0"/>
        <w:autoSpaceDE w:val="0"/>
        <w:autoSpaceDN w:val="0"/>
        <w:adjustRightInd w:val="0"/>
        <w:rPr>
          <w:color w:val="000000"/>
          <w:sz w:val="24"/>
          <w:szCs w:val="24"/>
        </w:rPr>
      </w:pPr>
    </w:p>
    <w:p w14:paraId="13F67E3C" w14:textId="77777777" w:rsidR="003C7122" w:rsidRDefault="00D75BF9">
      <w:pPr>
        <w:widowControl w:val="0"/>
        <w:autoSpaceDE w:val="0"/>
        <w:autoSpaceDN w:val="0"/>
        <w:adjustRightInd w:val="0"/>
        <w:ind w:left="900"/>
        <w:jc w:val="both"/>
        <w:rPr>
          <w:color w:val="000000"/>
          <w:sz w:val="24"/>
          <w:szCs w:val="24"/>
        </w:rPr>
      </w:pPr>
      <w:proofErr w:type="gramStart"/>
      <w:r>
        <w:rPr>
          <w:color w:val="000000"/>
        </w:rPr>
        <w:t>by</w:t>
      </w:r>
      <w:proofErr w:type="gramEnd"/>
      <w:r>
        <w:rPr>
          <w:color w:val="000000"/>
        </w:rPr>
        <w:t xml:space="preserve"> any means, directly or indirectly, unlawfully and willfully provides or collects funds with the intention that such funds be used, or with the knowledge that such funds are to be used, in full or in part, in order to carry out-</w:t>
      </w:r>
    </w:p>
    <w:p w14:paraId="72559158" w14:textId="77777777" w:rsidR="003C7122" w:rsidRDefault="003C7122">
      <w:pPr>
        <w:widowControl w:val="0"/>
        <w:autoSpaceDE w:val="0"/>
        <w:autoSpaceDN w:val="0"/>
        <w:adjustRightInd w:val="0"/>
        <w:rPr>
          <w:color w:val="000000"/>
          <w:sz w:val="24"/>
          <w:szCs w:val="24"/>
        </w:rPr>
      </w:pPr>
    </w:p>
    <w:p w14:paraId="57B5DD18" w14:textId="77777777" w:rsidR="003C7122" w:rsidRDefault="00D75BF9">
      <w:pPr>
        <w:widowControl w:val="0"/>
        <w:autoSpaceDE w:val="0"/>
        <w:autoSpaceDN w:val="0"/>
        <w:adjustRightInd w:val="0"/>
        <w:ind w:left="900"/>
        <w:jc w:val="both"/>
        <w:rPr>
          <w:color w:val="000000"/>
          <w:sz w:val="24"/>
          <w:szCs w:val="24"/>
        </w:rPr>
      </w:pPr>
      <w:r>
        <w:rPr>
          <w:color w:val="000000"/>
        </w:rPr>
        <w:t xml:space="preserve">(A) </w:t>
      </w:r>
      <w:proofErr w:type="gramStart"/>
      <w:r>
        <w:rPr>
          <w:color w:val="000000"/>
        </w:rPr>
        <w:t>an</w:t>
      </w:r>
      <w:proofErr w:type="gramEnd"/>
      <w:r>
        <w:rPr>
          <w:color w:val="000000"/>
        </w:rPr>
        <w:t xml:space="preserve"> act which constitutes an offense within the scope of a treaty specified in subsection (e)(7), as i</w:t>
      </w:r>
      <w:r>
        <w:rPr>
          <w:color w:val="000000"/>
        </w:rPr>
        <w:t>m</w:t>
      </w:r>
      <w:r>
        <w:rPr>
          <w:color w:val="000000"/>
        </w:rPr>
        <w:t>plemented by the United States, or</w:t>
      </w:r>
    </w:p>
    <w:p w14:paraId="76EFD2EF" w14:textId="77777777" w:rsidR="003C7122" w:rsidRDefault="003C7122">
      <w:pPr>
        <w:widowControl w:val="0"/>
        <w:autoSpaceDE w:val="0"/>
        <w:autoSpaceDN w:val="0"/>
        <w:adjustRightInd w:val="0"/>
        <w:rPr>
          <w:color w:val="000000"/>
          <w:sz w:val="24"/>
          <w:szCs w:val="24"/>
        </w:rPr>
      </w:pPr>
    </w:p>
    <w:p w14:paraId="697C0645" w14:textId="77777777" w:rsidR="003C7122" w:rsidRDefault="00D75BF9">
      <w:pPr>
        <w:widowControl w:val="0"/>
        <w:autoSpaceDE w:val="0"/>
        <w:autoSpaceDN w:val="0"/>
        <w:adjustRightInd w:val="0"/>
        <w:ind w:left="900"/>
        <w:jc w:val="both"/>
        <w:rPr>
          <w:color w:val="000000"/>
          <w:sz w:val="24"/>
          <w:szCs w:val="24"/>
        </w:rPr>
      </w:pPr>
      <w:r>
        <w:rPr>
          <w:color w:val="000000"/>
        </w:rPr>
        <w:t xml:space="preserve">(B) </w:t>
      </w:r>
      <w:proofErr w:type="gramStart"/>
      <w:r>
        <w:rPr>
          <w:color w:val="000000"/>
        </w:rPr>
        <w:t>any</w:t>
      </w:r>
      <w:proofErr w:type="gramEnd"/>
      <w:r>
        <w:rPr>
          <w:color w:val="000000"/>
        </w:rPr>
        <w:t xml:space="preserve"> other act intended to cause death or serious bodily injury to a civilian, or to any other person not taking an active part in the hostilities in a situation of armed conflict, when the purpose of such act, by its nature or context, is to intimidate a population, or to compel a government or an international organiz</w:t>
      </w:r>
      <w:r>
        <w:rPr>
          <w:color w:val="000000"/>
        </w:rPr>
        <w:t>a</w:t>
      </w:r>
      <w:r>
        <w:rPr>
          <w:color w:val="000000"/>
        </w:rPr>
        <w:t>tion to do or to abstain from doing any act.</w:t>
      </w:r>
    </w:p>
    <w:p w14:paraId="56097130" w14:textId="77777777" w:rsidR="003C7122" w:rsidRDefault="003C7122">
      <w:pPr>
        <w:widowControl w:val="0"/>
        <w:autoSpaceDE w:val="0"/>
        <w:autoSpaceDN w:val="0"/>
        <w:adjustRightInd w:val="0"/>
        <w:rPr>
          <w:color w:val="000000"/>
          <w:sz w:val="24"/>
          <w:szCs w:val="24"/>
        </w:rPr>
      </w:pPr>
    </w:p>
    <w:p w14:paraId="43481C66" w14:textId="77777777" w:rsidR="003C7122" w:rsidRDefault="00D24980">
      <w:pPr>
        <w:widowControl w:val="0"/>
        <w:autoSpaceDE w:val="0"/>
        <w:autoSpaceDN w:val="0"/>
        <w:adjustRightInd w:val="0"/>
        <w:ind w:firstLine="360"/>
        <w:jc w:val="both"/>
        <w:rPr>
          <w:color w:val="000000"/>
          <w:sz w:val="24"/>
          <w:szCs w:val="24"/>
        </w:rPr>
      </w:pPr>
      <w:hyperlink w:anchor="Document1zzF72021482735" w:history="1">
        <w:r w:rsidR="00D75BF9">
          <w:rPr>
            <w:color w:val="0000FF"/>
            <w:u w:val="single"/>
          </w:rPr>
          <w:t>[7]</w:t>
        </w:r>
      </w:hyperlink>
      <w:bookmarkStart w:id="83" w:name="Document1zzB72021482735"/>
      <w:bookmarkEnd w:id="83"/>
      <w:r w:rsidR="00D75BF9">
        <w:rPr>
          <w:color w:val="000000"/>
        </w:rPr>
        <w:t xml:space="preserve"> In </w:t>
      </w:r>
      <w:hyperlink r:id="rId386" w:history="1">
        <w:r w:rsidR="00D75BF9">
          <w:rPr>
            <w:i/>
            <w:iCs/>
            <w:color w:val="0000FF"/>
            <w:u w:val="single"/>
          </w:rPr>
          <w:t>Boim II,</w:t>
        </w:r>
      </w:hyperlink>
      <w:r w:rsidR="00D75BF9">
        <w:rPr>
          <w:color w:val="000000"/>
        </w:rPr>
        <w:t xml:space="preserve"> the Seventh Circuit Court of Appeals granted defendants' petition for interlocutory appeal in o</w:t>
      </w:r>
      <w:r w:rsidR="00D75BF9">
        <w:rPr>
          <w:color w:val="000000"/>
        </w:rPr>
        <w:t>r</w:t>
      </w:r>
      <w:r w:rsidR="00D75BF9">
        <w:rPr>
          <w:color w:val="000000"/>
        </w:rPr>
        <w:t>der to address, among other questions, whether “</w:t>
      </w:r>
      <w:hyperlink r:id="rId387" w:history="1">
        <w:r w:rsidR="00D75BF9">
          <w:rPr>
            <w:color w:val="0000FF"/>
            <w:u w:val="single"/>
          </w:rPr>
          <w:t>18 U.S.C. § 2333</w:t>
        </w:r>
      </w:hyperlink>
      <w:r w:rsidR="00D75BF9">
        <w:rPr>
          <w:color w:val="000000"/>
        </w:rPr>
        <w:t xml:space="preserve"> incorporate[s] the definitions of international te</w:t>
      </w:r>
      <w:r w:rsidR="00D75BF9">
        <w:rPr>
          <w:color w:val="000000"/>
        </w:rPr>
        <w:t>r</w:t>
      </w:r>
      <w:r w:rsidR="00D75BF9">
        <w:rPr>
          <w:color w:val="000000"/>
        </w:rPr>
        <w:t xml:space="preserve">rorism found in </w:t>
      </w:r>
      <w:hyperlink r:id="rId388" w:history="1">
        <w:r w:rsidR="00D75BF9">
          <w:rPr>
            <w:color w:val="0000FF"/>
            <w:u w:val="single"/>
          </w:rPr>
          <w:t>18 U.S.C. §§ 2339A</w:t>
        </w:r>
      </w:hyperlink>
      <w:r w:rsidR="00D75BF9">
        <w:rPr>
          <w:color w:val="000000"/>
        </w:rPr>
        <w:t xml:space="preserve"> and </w:t>
      </w:r>
      <w:hyperlink r:id="rId389" w:history="1">
        <w:r w:rsidR="00D75BF9">
          <w:rPr>
            <w:color w:val="0000FF"/>
            <w:u w:val="single"/>
          </w:rPr>
          <w:t>2339B</w:t>
        </w:r>
      </w:hyperlink>
      <w:r w:rsidR="00D75BF9">
        <w:rPr>
          <w:color w:val="000000"/>
        </w:rPr>
        <w:t xml:space="preserve">?” </w:t>
      </w:r>
      <w:hyperlink r:id="rId390" w:history="1">
        <w:r w:rsidR="00D75BF9">
          <w:rPr>
            <w:color w:val="0000FF"/>
            <w:u w:val="single"/>
          </w:rPr>
          <w:t>291 F.3d at 1007.</w:t>
        </w:r>
      </w:hyperlink>
      <w:r w:rsidR="00D75BF9">
        <w:rPr>
          <w:color w:val="000000"/>
        </w:rPr>
        <w:t xml:space="preserve"> Resolving that question in the affirmative, the Seventh Circuit wrote:</w:t>
      </w:r>
    </w:p>
    <w:p w14:paraId="4076465A" w14:textId="77777777" w:rsidR="003C7122" w:rsidRDefault="003C7122">
      <w:pPr>
        <w:widowControl w:val="0"/>
        <w:autoSpaceDE w:val="0"/>
        <w:autoSpaceDN w:val="0"/>
        <w:adjustRightInd w:val="0"/>
        <w:rPr>
          <w:color w:val="000000"/>
          <w:sz w:val="24"/>
          <w:szCs w:val="24"/>
        </w:rPr>
      </w:pPr>
    </w:p>
    <w:p w14:paraId="1475C79C" w14:textId="77777777" w:rsidR="003C7122" w:rsidRDefault="00D75BF9">
      <w:pPr>
        <w:widowControl w:val="0"/>
        <w:autoSpaceDE w:val="0"/>
        <w:autoSpaceDN w:val="0"/>
        <w:adjustRightInd w:val="0"/>
        <w:ind w:left="180"/>
        <w:jc w:val="both"/>
        <w:rPr>
          <w:color w:val="000000"/>
          <w:sz w:val="24"/>
          <w:szCs w:val="24"/>
        </w:rPr>
      </w:pPr>
      <w:r>
        <w:rPr>
          <w:color w:val="000000"/>
        </w:rPr>
        <w:t xml:space="preserve">Because Congress intended to impose criminal liability for funding violent terrorism, we find that it also intended through </w:t>
      </w:r>
      <w:hyperlink r:id="rId391" w:history="1">
        <w:r>
          <w:rPr>
            <w:color w:val="0000FF"/>
            <w:u w:val="single"/>
          </w:rPr>
          <w:t>sections 2333</w:t>
        </w:r>
      </w:hyperlink>
      <w:r>
        <w:rPr>
          <w:color w:val="000000"/>
        </w:rPr>
        <w:t xml:space="preserve"> and </w:t>
      </w:r>
      <w:hyperlink r:id="rId392" w:history="1">
        <w:r>
          <w:rPr>
            <w:color w:val="0000FF"/>
            <w:u w:val="single"/>
          </w:rPr>
          <w:t>2331(1)</w:t>
        </w:r>
      </w:hyperlink>
      <w:r>
        <w:rPr>
          <w:color w:val="000000"/>
        </w:rPr>
        <w:t xml:space="preserve"> to impose civil liability for funding at least as broad a class of violent terrorist acts. If the plaintiffs could show that [defendants] violated either </w:t>
      </w:r>
      <w:hyperlink r:id="rId393" w:history="1">
        <w:r>
          <w:rPr>
            <w:color w:val="0000FF"/>
            <w:u w:val="single"/>
          </w:rPr>
          <w:t>section 2339A</w:t>
        </w:r>
      </w:hyperlink>
      <w:r>
        <w:rPr>
          <w:color w:val="000000"/>
        </w:rPr>
        <w:t xml:space="preserve"> or </w:t>
      </w:r>
      <w:hyperlink r:id="rId394" w:history="1">
        <w:r>
          <w:rPr>
            <w:color w:val="0000FF"/>
            <w:u w:val="single"/>
          </w:rPr>
          <w:t>section 2339B</w:t>
        </w:r>
      </w:hyperlink>
      <w:r>
        <w:rPr>
          <w:color w:val="000000"/>
        </w:rPr>
        <w:t xml:space="preserve">, that conduct would certainly be sufficient to meet the definition of “international terrorism” under </w:t>
      </w:r>
      <w:hyperlink r:id="rId395" w:history="1">
        <w:r>
          <w:rPr>
            <w:color w:val="0000FF"/>
            <w:u w:val="single"/>
          </w:rPr>
          <w:t>sections 2333</w:t>
        </w:r>
      </w:hyperlink>
      <w:r>
        <w:rPr>
          <w:color w:val="000000"/>
        </w:rPr>
        <w:t xml:space="preserve"> and </w:t>
      </w:r>
      <w:hyperlink r:id="rId396" w:history="1">
        <w:r>
          <w:rPr>
            <w:color w:val="0000FF"/>
            <w:u w:val="single"/>
          </w:rPr>
          <w:t>2331</w:t>
        </w:r>
      </w:hyperlink>
      <w:r>
        <w:rPr>
          <w:color w:val="000000"/>
        </w:rPr>
        <w:t>.</w:t>
      </w:r>
    </w:p>
    <w:p w14:paraId="05776825" w14:textId="77777777" w:rsidR="003C7122" w:rsidRDefault="003C7122">
      <w:pPr>
        <w:widowControl w:val="0"/>
        <w:autoSpaceDE w:val="0"/>
        <w:autoSpaceDN w:val="0"/>
        <w:adjustRightInd w:val="0"/>
        <w:rPr>
          <w:color w:val="000000"/>
          <w:sz w:val="24"/>
          <w:szCs w:val="24"/>
        </w:rPr>
      </w:pPr>
    </w:p>
    <w:p w14:paraId="50E2F6F5"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397" w:history="1">
        <w:r>
          <w:rPr>
            <w:i/>
            <w:iCs/>
            <w:color w:val="0000FF"/>
            <w:u w:val="single"/>
          </w:rPr>
          <w:t>Id.</w:t>
        </w:r>
      </w:hyperlink>
      <w:hyperlink r:id="rId398" w:history="1">
        <w:r>
          <w:rPr>
            <w:color w:val="0000FF"/>
            <w:u w:val="single"/>
          </w:rPr>
          <w:t xml:space="preserve"> </w:t>
        </w:r>
        <w:proofErr w:type="gramStart"/>
        <w:r>
          <w:rPr>
            <w:color w:val="0000FF"/>
            <w:u w:val="single"/>
          </w:rPr>
          <w:t>at</w:t>
        </w:r>
        <w:proofErr w:type="gramEnd"/>
        <w:r>
          <w:rPr>
            <w:color w:val="0000FF"/>
            <w:u w:val="single"/>
          </w:rPr>
          <w:t xml:space="preserve"> 1015.</w:t>
        </w:r>
      </w:hyperlink>
      <w:r>
        <w:rPr>
          <w:color w:val="000000"/>
        </w:rPr>
        <w:t xml:space="preserve"> Following a jury verdict for the plaintiff, the Seventh Circuit again addressed this issue </w:t>
      </w:r>
      <w:r>
        <w:rPr>
          <w:i/>
          <w:iCs/>
          <w:color w:val="000000"/>
        </w:rPr>
        <w:t>en banc</w:t>
      </w:r>
      <w:r>
        <w:rPr>
          <w:color w:val="000000"/>
        </w:rPr>
        <w:t xml:space="preserve"> in </w:t>
      </w:r>
      <w:hyperlink r:id="rId399" w:history="1">
        <w:r>
          <w:rPr>
            <w:i/>
            <w:iCs/>
            <w:color w:val="0000FF"/>
            <w:u w:val="single"/>
          </w:rPr>
          <w:t>Boim III.</w:t>
        </w:r>
      </w:hyperlink>
      <w:r>
        <w:rPr>
          <w:color w:val="000000"/>
        </w:rPr>
        <w:t xml:space="preserve"> Speaking for the majority, Judge Posner wrote:</w:t>
      </w:r>
    </w:p>
    <w:p w14:paraId="2E28F297" w14:textId="77777777" w:rsidR="003C7122" w:rsidRDefault="00D75BF9">
      <w:pPr>
        <w:widowControl w:val="0"/>
        <w:autoSpaceDE w:val="0"/>
        <w:autoSpaceDN w:val="0"/>
        <w:adjustRightInd w:val="0"/>
        <w:ind w:left="180"/>
        <w:jc w:val="both"/>
        <w:rPr>
          <w:color w:val="000000"/>
          <w:sz w:val="24"/>
          <w:szCs w:val="24"/>
        </w:rPr>
      </w:pPr>
      <w:r>
        <w:rPr>
          <w:color w:val="000000"/>
        </w:rPr>
        <w:t>[</w:t>
      </w:r>
      <w:proofErr w:type="gramStart"/>
      <w:r>
        <w:rPr>
          <w:color w:val="000000"/>
        </w:rPr>
        <w:t>D]onations</w:t>
      </w:r>
      <w:proofErr w:type="gramEnd"/>
      <w:r>
        <w:rPr>
          <w:color w:val="000000"/>
        </w:rPr>
        <w:t xml:space="preserve"> to Hamas, by augmenting Hamas's resources, [ ] enable Hamas to kill or wound, or try to kill, or co</w:t>
      </w:r>
      <w:r>
        <w:rPr>
          <w:color w:val="000000"/>
        </w:rPr>
        <w:t>n</w:t>
      </w:r>
      <w:r>
        <w:rPr>
          <w:color w:val="000000"/>
        </w:rPr>
        <w:t>spire to kill more people in Israel. And given such foreseeable consequences, such donations would “appear to be intended ... to intimidate or coerce a civilian population” or to “affect the conduct of a government by ... assass</w:t>
      </w:r>
      <w:r>
        <w:rPr>
          <w:color w:val="000000"/>
        </w:rPr>
        <w:t>i</w:t>
      </w:r>
      <w:r>
        <w:rPr>
          <w:color w:val="000000"/>
        </w:rPr>
        <w:t xml:space="preserve">nation,” as required by </w:t>
      </w:r>
      <w:hyperlink r:id="rId400" w:history="1">
        <w:r>
          <w:rPr>
            <w:color w:val="0000FF"/>
            <w:u w:val="single"/>
          </w:rPr>
          <w:t>section 2331(1)</w:t>
        </w:r>
      </w:hyperlink>
      <w:r>
        <w:rPr>
          <w:color w:val="000000"/>
        </w:rPr>
        <w:t xml:space="preserve"> in order to distinguish terrorist acts from other violent crimes, though it is not a state-of-mind requirement; it is a matter of external appearance rather than subjective intent, which is inte</w:t>
      </w:r>
      <w:r>
        <w:rPr>
          <w:color w:val="000000"/>
        </w:rPr>
        <w:t>r</w:t>
      </w:r>
      <w:r>
        <w:rPr>
          <w:color w:val="000000"/>
        </w:rPr>
        <w:t>nal to the intender.</w:t>
      </w:r>
    </w:p>
    <w:p w14:paraId="73EF5FAC" w14:textId="77777777" w:rsidR="003C7122" w:rsidRDefault="003C7122">
      <w:pPr>
        <w:widowControl w:val="0"/>
        <w:autoSpaceDE w:val="0"/>
        <w:autoSpaceDN w:val="0"/>
        <w:adjustRightInd w:val="0"/>
        <w:rPr>
          <w:color w:val="000000"/>
          <w:sz w:val="24"/>
          <w:szCs w:val="24"/>
        </w:rPr>
      </w:pPr>
    </w:p>
    <w:p w14:paraId="41363B00"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 </w:t>
      </w:r>
      <w:hyperlink r:id="rId401" w:history="1">
        <w:proofErr w:type="gramStart"/>
        <w:r>
          <w:rPr>
            <w:color w:val="0000FF"/>
            <w:u w:val="single"/>
          </w:rPr>
          <w:t>549 F.3d at 694</w:t>
        </w:r>
      </w:hyperlink>
      <w:r>
        <w:rPr>
          <w:color w:val="000000"/>
        </w:rPr>
        <w:t xml:space="preserve"> (ellipses in original).</w:t>
      </w:r>
      <w:proofErr w:type="gramEnd"/>
      <w:r>
        <w:rPr>
          <w:color w:val="000000"/>
        </w:rPr>
        <w:t xml:space="preserve"> The court concluded that a violation of </w:t>
      </w:r>
      <w:hyperlink r:id="rId402" w:history="1">
        <w:r>
          <w:rPr>
            <w:color w:val="0000FF"/>
            <w:u w:val="single"/>
          </w:rPr>
          <w:t>section 2339A</w:t>
        </w:r>
      </w:hyperlink>
      <w:r>
        <w:rPr>
          <w:color w:val="000000"/>
        </w:rPr>
        <w:t xml:space="preserve"> </w:t>
      </w:r>
      <w:proofErr w:type="gramStart"/>
      <w:r>
        <w:rPr>
          <w:color w:val="000000"/>
        </w:rPr>
        <w:t>will</w:t>
      </w:r>
      <w:proofErr w:type="gramEnd"/>
      <w:r>
        <w:rPr>
          <w:color w:val="000000"/>
        </w:rPr>
        <w:t xml:space="preserve"> suffice to e</w:t>
      </w:r>
      <w:r>
        <w:rPr>
          <w:color w:val="000000"/>
        </w:rPr>
        <w:t>s</w:t>
      </w:r>
      <w:r>
        <w:rPr>
          <w:color w:val="000000"/>
        </w:rPr>
        <w:t xml:space="preserve">tablish </w:t>
      </w:r>
      <w:hyperlink r:id="rId403" w:history="1">
        <w:r>
          <w:rPr>
            <w:color w:val="0000FF"/>
            <w:u w:val="single"/>
          </w:rPr>
          <w:t>section 2331(1)</w:t>
        </w:r>
      </w:hyperlink>
      <w:r>
        <w:rPr>
          <w:color w:val="000000"/>
        </w:rPr>
        <w:t xml:space="preserve"> liability.</w:t>
      </w:r>
      <w:hyperlink w:anchor="Document1zzB032322021482735" w:history="1">
        <w:r>
          <w:rPr>
            <w:color w:val="0000FF"/>
            <w:u w:val="single"/>
            <w:vertAlign w:val="superscript"/>
          </w:rPr>
          <w:t>FN32</w:t>
        </w:r>
      </w:hyperlink>
      <w:bookmarkStart w:id="84" w:name="Document1zzF032322021482735"/>
      <w:bookmarkEnd w:id="84"/>
      <w:r>
        <w:rPr>
          <w:color w:val="000000"/>
        </w:rPr>
        <w:t xml:space="preserve"> While the Seventh Circuit did not directly address whether </w:t>
      </w:r>
      <w:hyperlink r:id="rId404" w:history="1">
        <w:r>
          <w:rPr>
            <w:color w:val="0000FF"/>
            <w:u w:val="single"/>
          </w:rPr>
          <w:t>section 2339C</w:t>
        </w:r>
      </w:hyperlink>
      <w:r>
        <w:rPr>
          <w:color w:val="000000"/>
        </w:rPr>
        <w:t xml:space="preserve"> may also serve as a predicate for 2333(a) liability, </w:t>
      </w:r>
      <w:hyperlink w:anchor="Document1zzB033332021482735" w:history="1">
        <w:r>
          <w:rPr>
            <w:color w:val="0000FF"/>
            <w:u w:val="single"/>
            <w:vertAlign w:val="superscript"/>
          </w:rPr>
          <w:t>FN33</w:t>
        </w:r>
      </w:hyperlink>
      <w:bookmarkStart w:id="85" w:name="Document1zzF033332021482735"/>
      <w:bookmarkEnd w:id="85"/>
      <w:r>
        <w:rPr>
          <w:color w:val="000000"/>
        </w:rPr>
        <w:t xml:space="preserve"> </w:t>
      </w:r>
      <w:proofErr w:type="gramStart"/>
      <w:r>
        <w:rPr>
          <w:color w:val="000000"/>
        </w:rPr>
        <w:t>its</w:t>
      </w:r>
      <w:proofErr w:type="gramEnd"/>
      <w:r>
        <w:rPr>
          <w:color w:val="000000"/>
        </w:rPr>
        <w:t xml:space="preserve"> holding has been interpreted as applying equally to that section, and defendants cite no basis to hold otherwise. </w:t>
      </w:r>
      <w:r>
        <w:rPr>
          <w:i/>
          <w:iCs/>
          <w:color w:val="000000"/>
        </w:rPr>
        <w:t xml:space="preserve">See, e.g., </w:t>
      </w:r>
      <w:hyperlink r:id="rId405" w:history="1">
        <w:r>
          <w:rPr>
            <w:i/>
            <w:iCs/>
            <w:color w:val="0000FF"/>
            <w:u w:val="single"/>
          </w:rPr>
          <w:t>Linde v. Arab Bank, PLC,</w:t>
        </w:r>
      </w:hyperlink>
      <w:hyperlink r:id="rId406" w:history="1">
        <w:r>
          <w:rPr>
            <w:color w:val="0000FF"/>
            <w:u w:val="single"/>
          </w:rPr>
          <w:t xml:space="preserve"> 384 F.Supp.2d 571, 581 (E.D.N.Y.2005)</w:t>
        </w:r>
      </w:hyperlink>
      <w:r>
        <w:rPr>
          <w:color w:val="000000"/>
        </w:rPr>
        <w:t xml:space="preserve"> (noting that violations of 2339A, 2339B, or 2339C will served “as predicate crimes giving rise to civil liability under the ATA.”).</w:t>
      </w:r>
    </w:p>
    <w:p w14:paraId="58825008" w14:textId="77777777" w:rsidR="003C7122" w:rsidRDefault="003C7122">
      <w:pPr>
        <w:widowControl w:val="0"/>
        <w:autoSpaceDE w:val="0"/>
        <w:autoSpaceDN w:val="0"/>
        <w:adjustRightInd w:val="0"/>
        <w:rPr>
          <w:color w:val="000000"/>
          <w:sz w:val="24"/>
          <w:szCs w:val="24"/>
        </w:rPr>
      </w:pPr>
    </w:p>
    <w:p w14:paraId="1A45255D" w14:textId="77777777" w:rsidR="003C7122" w:rsidRDefault="00D24980">
      <w:pPr>
        <w:widowControl w:val="0"/>
        <w:autoSpaceDE w:val="0"/>
        <w:autoSpaceDN w:val="0"/>
        <w:adjustRightInd w:val="0"/>
        <w:ind w:left="720"/>
        <w:jc w:val="both"/>
        <w:rPr>
          <w:color w:val="000000"/>
          <w:sz w:val="24"/>
          <w:szCs w:val="24"/>
        </w:rPr>
      </w:pPr>
      <w:hyperlink w:anchor="Document1zzF032322021482735" w:history="1">
        <w:r w:rsidR="00D75BF9">
          <w:rPr>
            <w:color w:val="0000FF"/>
            <w:u w:val="single"/>
          </w:rPr>
          <w:t>FN32.</w:t>
        </w:r>
      </w:hyperlink>
      <w:bookmarkStart w:id="86" w:name="Document1zzB032322021482735"/>
      <w:bookmarkEnd w:id="86"/>
      <w:r w:rsidR="00D75BF9">
        <w:rPr>
          <w:color w:val="000000"/>
        </w:rPr>
        <w:t xml:space="preserve"> Defendant contends that the Seventh Circuit's conclusion is merely dicta because the defendants had conceded in the district court that the complaint met the “appears to be intended” prong of </w:t>
      </w:r>
      <w:hyperlink r:id="rId407" w:history="1">
        <w:r w:rsidR="00D75BF9">
          <w:rPr>
            <w:color w:val="0000FF"/>
            <w:u w:val="single"/>
          </w:rPr>
          <w:t>18 U.S.C. 2331</w:t>
        </w:r>
      </w:hyperlink>
      <w:r w:rsidR="00D75BF9">
        <w:rPr>
          <w:color w:val="000000"/>
        </w:rPr>
        <w:t>'s definition of “international terrorism,” (</w:t>
      </w:r>
      <w:hyperlink r:id="rId408" w:history="1">
        <w:r w:rsidR="00D75BF9">
          <w:rPr>
            <w:color w:val="0000FF"/>
            <w:u w:val="single"/>
          </w:rPr>
          <w:t>18 U.S.C. 2331(1)(B)</w:t>
        </w:r>
      </w:hyperlink>
      <w:r w:rsidR="00D75BF9">
        <w:rPr>
          <w:color w:val="000000"/>
        </w:rPr>
        <w:t>) and thus the only issue before the court was whether plaintiffs had adequately pled that defendants conduct “involve[d] violent acts” in violation of 2331(1)(A). That contention is of limited relevance here because the Seventh Circuit's conclusion would not be binding on this court even if it were not dicta (though its explicit and considered statutory interpret</w:t>
      </w:r>
      <w:r w:rsidR="00D75BF9">
        <w:rPr>
          <w:color w:val="000000"/>
        </w:rPr>
        <w:t>a</w:t>
      </w:r>
      <w:r w:rsidR="00D75BF9">
        <w:rPr>
          <w:color w:val="000000"/>
        </w:rPr>
        <w:t xml:space="preserve">tion would almost certainly be heeded by the trial courts of that district). </w:t>
      </w:r>
      <w:r w:rsidR="00D75BF9">
        <w:rPr>
          <w:i/>
          <w:iCs/>
          <w:color w:val="000000"/>
        </w:rPr>
        <w:t xml:space="preserve">See </w:t>
      </w:r>
      <w:hyperlink r:id="rId409" w:history="1">
        <w:r w:rsidR="00D75BF9">
          <w:rPr>
            <w:i/>
            <w:iCs/>
            <w:color w:val="0000FF"/>
            <w:u w:val="single"/>
          </w:rPr>
          <w:t>U.S. v. Bell,</w:t>
        </w:r>
      </w:hyperlink>
      <w:hyperlink r:id="rId410" w:history="1">
        <w:r w:rsidR="00D75BF9">
          <w:rPr>
            <w:color w:val="0000FF"/>
            <w:u w:val="single"/>
          </w:rPr>
          <w:t xml:space="preserve"> 524 F.2d 202, 206 (2d Cir.1975)</w:t>
        </w:r>
      </w:hyperlink>
      <w:r w:rsidR="00D75BF9">
        <w:rPr>
          <w:color w:val="000000"/>
        </w:rPr>
        <w:t xml:space="preserve"> (noting distinction “between ‘obiter dictum,’ which constitutes an aside or an unnecessary extension of comments, and considered or ‘judicial dictum’ where the Court ... is providing a construction of a statute to guide the future conduct of inferior courts.”).</w:t>
      </w:r>
    </w:p>
    <w:p w14:paraId="69B72E2F" w14:textId="77777777" w:rsidR="003C7122" w:rsidRDefault="003C7122">
      <w:pPr>
        <w:widowControl w:val="0"/>
        <w:autoSpaceDE w:val="0"/>
        <w:autoSpaceDN w:val="0"/>
        <w:adjustRightInd w:val="0"/>
        <w:rPr>
          <w:color w:val="000000"/>
          <w:sz w:val="24"/>
          <w:szCs w:val="24"/>
        </w:rPr>
      </w:pPr>
    </w:p>
    <w:p w14:paraId="3373B344" w14:textId="77777777" w:rsidR="003C7122" w:rsidRDefault="00D24980">
      <w:pPr>
        <w:widowControl w:val="0"/>
        <w:autoSpaceDE w:val="0"/>
        <w:autoSpaceDN w:val="0"/>
        <w:adjustRightInd w:val="0"/>
        <w:ind w:left="720"/>
        <w:jc w:val="both"/>
        <w:rPr>
          <w:color w:val="000000"/>
          <w:sz w:val="24"/>
          <w:szCs w:val="24"/>
        </w:rPr>
      </w:pPr>
      <w:hyperlink w:anchor="Document1zzF033332021482735" w:history="1">
        <w:r w:rsidR="00D75BF9">
          <w:rPr>
            <w:color w:val="0000FF"/>
            <w:u w:val="single"/>
          </w:rPr>
          <w:t>FN33.</w:t>
        </w:r>
      </w:hyperlink>
      <w:bookmarkStart w:id="87" w:name="Document1zzB033332021482735"/>
      <w:bookmarkEnd w:id="87"/>
      <w:r w:rsidR="00D75BF9">
        <w:rPr>
          <w:color w:val="000000"/>
        </w:rPr>
        <w:t xml:space="preserve"> Because the victim of the terrorist attack at issue in this case, Stuart Goldberg, was not a United States citizen, neither </w:t>
      </w:r>
      <w:hyperlink r:id="rId411" w:history="1">
        <w:r w:rsidR="00D75BF9">
          <w:rPr>
            <w:color w:val="0000FF"/>
            <w:u w:val="single"/>
          </w:rPr>
          <w:t>§ 2339A</w:t>
        </w:r>
      </w:hyperlink>
      <w:r w:rsidR="00D75BF9">
        <w:rPr>
          <w:color w:val="000000"/>
        </w:rPr>
        <w:t xml:space="preserve"> nor </w:t>
      </w:r>
      <w:hyperlink r:id="rId412" w:history="1">
        <w:r w:rsidR="00D75BF9">
          <w:rPr>
            <w:color w:val="0000FF"/>
            <w:u w:val="single"/>
          </w:rPr>
          <w:t>§ 2332</w:t>
        </w:r>
      </w:hyperlink>
      <w:r w:rsidR="00D75BF9">
        <w:rPr>
          <w:color w:val="000000"/>
        </w:rPr>
        <w:t xml:space="preserve"> are applicable here.</w:t>
      </w:r>
    </w:p>
    <w:p w14:paraId="78B10AA5" w14:textId="77777777" w:rsidR="003C7122" w:rsidRDefault="003C7122">
      <w:pPr>
        <w:widowControl w:val="0"/>
        <w:autoSpaceDE w:val="0"/>
        <w:autoSpaceDN w:val="0"/>
        <w:adjustRightInd w:val="0"/>
        <w:rPr>
          <w:color w:val="000000"/>
          <w:sz w:val="24"/>
          <w:szCs w:val="24"/>
        </w:rPr>
      </w:pPr>
    </w:p>
    <w:p w14:paraId="3AF25F11"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Defendant contends that the Seventh Circuit concluded merely that a violation of section 2339 would satisfy the requirement that defendant's conduct “involve [d] violent acts.” However, quite the contrary, the court concluded that </w:t>
      </w:r>
      <w:hyperlink r:id="rId413" w:history="1">
        <w:r>
          <w:rPr>
            <w:color w:val="0000FF"/>
            <w:u w:val="single"/>
          </w:rPr>
          <w:t>sections 2339A</w:t>
        </w:r>
      </w:hyperlink>
      <w:r>
        <w:rPr>
          <w:color w:val="000000"/>
        </w:rPr>
        <w:t xml:space="preserve"> and </w:t>
      </w:r>
      <w:hyperlink r:id="rId414" w:history="1">
        <w:r>
          <w:rPr>
            <w:color w:val="0000FF"/>
            <w:u w:val="single"/>
          </w:rPr>
          <w:t>2339B</w:t>
        </w:r>
      </w:hyperlink>
      <w:r>
        <w:rPr>
          <w:color w:val="000000"/>
        </w:rPr>
        <w:t xml:space="preserve"> make clear Congress' intent that the intentional (or reckless) provision of material support to a terrorist organization fulfills each prong of </w:t>
      </w:r>
      <w:hyperlink r:id="rId415" w:history="1">
        <w:r>
          <w:rPr>
            <w:color w:val="0000FF"/>
            <w:u w:val="single"/>
          </w:rPr>
          <w:t>Section 2331(1)</w:t>
        </w:r>
      </w:hyperlink>
      <w:r>
        <w:rPr>
          <w:color w:val="000000"/>
        </w:rPr>
        <w:t xml:space="preserve">'s definition of “international terrorism,” and therefore suffice to establish liability under </w:t>
      </w:r>
      <w:hyperlink r:id="rId416" w:history="1">
        <w:r>
          <w:rPr>
            <w:color w:val="0000FF"/>
            <w:u w:val="single"/>
          </w:rPr>
          <w:t>Section 2333(a)</w:t>
        </w:r>
      </w:hyperlink>
      <w:r>
        <w:rPr>
          <w:color w:val="000000"/>
        </w:rPr>
        <w:t xml:space="preserve">. </w:t>
      </w:r>
      <w:r>
        <w:rPr>
          <w:i/>
          <w:iCs/>
          <w:color w:val="000000"/>
        </w:rPr>
        <w:t xml:space="preserve">See </w:t>
      </w:r>
      <w:hyperlink r:id="rId417" w:history="1">
        <w:r>
          <w:rPr>
            <w:i/>
            <w:iCs/>
            <w:color w:val="0000FF"/>
            <w:u w:val="single"/>
          </w:rPr>
          <w:t>Boim II,</w:t>
        </w:r>
      </w:hyperlink>
      <w:hyperlink r:id="rId418" w:history="1">
        <w:r>
          <w:rPr>
            <w:color w:val="0000FF"/>
            <w:u w:val="single"/>
          </w:rPr>
          <w:t xml:space="preserve"> 291 F.3d at 1013-15</w:t>
        </w:r>
      </w:hyperlink>
      <w:r>
        <w:rPr>
          <w:color w:val="000000"/>
        </w:rPr>
        <w:t xml:space="preserve"> (“If the plaintiffs could show that [defendants] violated either </w:t>
      </w:r>
      <w:hyperlink r:id="rId419" w:history="1">
        <w:r>
          <w:rPr>
            <w:color w:val="0000FF"/>
            <w:u w:val="single"/>
          </w:rPr>
          <w:t>section 2339A</w:t>
        </w:r>
      </w:hyperlink>
      <w:r>
        <w:rPr>
          <w:color w:val="000000"/>
        </w:rPr>
        <w:t xml:space="preserve"> or </w:t>
      </w:r>
      <w:hyperlink r:id="rId420" w:history="1">
        <w:r>
          <w:rPr>
            <w:color w:val="0000FF"/>
            <w:u w:val="single"/>
          </w:rPr>
          <w:t>section 2339B</w:t>
        </w:r>
      </w:hyperlink>
      <w:r>
        <w:rPr>
          <w:color w:val="000000"/>
        </w:rPr>
        <w:t>, that conduct would certainly be suff</w:t>
      </w:r>
      <w:r>
        <w:rPr>
          <w:color w:val="000000"/>
        </w:rPr>
        <w:t>i</w:t>
      </w:r>
      <w:r>
        <w:rPr>
          <w:color w:val="000000"/>
        </w:rPr>
        <w:t xml:space="preserve">cient to meet the definition of ‘international terrorism’ under </w:t>
      </w:r>
      <w:hyperlink r:id="rId421" w:history="1">
        <w:r>
          <w:rPr>
            <w:color w:val="0000FF"/>
            <w:u w:val="single"/>
          </w:rPr>
          <w:t>sections 2333</w:t>
        </w:r>
      </w:hyperlink>
      <w:r>
        <w:rPr>
          <w:color w:val="000000"/>
        </w:rPr>
        <w:t xml:space="preserve">.”), </w:t>
      </w:r>
      <w:hyperlink r:id="rId422" w:history="1">
        <w:r>
          <w:rPr>
            <w:i/>
            <w:iCs/>
            <w:color w:val="0000FF"/>
            <w:u w:val="single"/>
          </w:rPr>
          <w:t>Boim III,</w:t>
        </w:r>
      </w:hyperlink>
      <w:hyperlink r:id="rId423" w:history="1">
        <w:r>
          <w:rPr>
            <w:color w:val="0000FF"/>
            <w:u w:val="single"/>
          </w:rPr>
          <w:t xml:space="preserve"> 549 F.3d at 700</w:t>
        </w:r>
      </w:hyperlink>
      <w:r>
        <w:rPr>
          <w:color w:val="000000"/>
        </w:rPr>
        <w:t xml:space="preserve"> (“[W]hether it makes good sense or not, the imposition of civil liability through the chain of incorporations is compelled by the statutory texts-as the panel determined in its first opinion.”). However, the ultimate issue is not what the Seventh Circuit held, but rather whether the issue they confronted warrants certification in this circuit. As explained below, the issue is not one on which there exists a substantial ground for difference of opinion; accordingly, certification is not warranted.</w:t>
      </w:r>
    </w:p>
    <w:p w14:paraId="7F35E437" w14:textId="77777777" w:rsidR="003C7122" w:rsidRDefault="003C7122">
      <w:pPr>
        <w:widowControl w:val="0"/>
        <w:autoSpaceDE w:val="0"/>
        <w:autoSpaceDN w:val="0"/>
        <w:adjustRightInd w:val="0"/>
        <w:rPr>
          <w:color w:val="000000"/>
          <w:sz w:val="24"/>
          <w:szCs w:val="24"/>
        </w:rPr>
      </w:pPr>
    </w:p>
    <w:p w14:paraId="51811867" w14:textId="77777777" w:rsidR="003C7122" w:rsidRDefault="00D75BF9">
      <w:pPr>
        <w:widowControl w:val="0"/>
        <w:autoSpaceDE w:val="0"/>
        <w:autoSpaceDN w:val="0"/>
        <w:adjustRightInd w:val="0"/>
        <w:ind w:firstLine="360"/>
        <w:jc w:val="both"/>
        <w:rPr>
          <w:color w:val="000000"/>
          <w:sz w:val="24"/>
          <w:szCs w:val="24"/>
        </w:rPr>
      </w:pPr>
      <w:r>
        <w:rPr>
          <w:color w:val="000000"/>
        </w:rPr>
        <w:t xml:space="preserve">Following the Seventh Circuit's lead, numerous authorities have similarly interpreted </w:t>
      </w:r>
      <w:hyperlink r:id="rId424" w:history="1">
        <w:r>
          <w:rPr>
            <w:color w:val="0000FF"/>
            <w:u w:val="single"/>
          </w:rPr>
          <w:t>section 2331(1)</w:t>
        </w:r>
      </w:hyperlink>
      <w:r>
        <w:rPr>
          <w:color w:val="000000"/>
        </w:rPr>
        <w:t>.</w:t>
      </w:r>
      <w:hyperlink w:anchor="Document1zzB034342021482735" w:history="1">
        <w:r>
          <w:rPr>
            <w:color w:val="0000FF"/>
            <w:u w:val="single"/>
            <w:vertAlign w:val="superscript"/>
          </w:rPr>
          <w:t>FN34</w:t>
        </w:r>
      </w:hyperlink>
      <w:bookmarkStart w:id="88" w:name="Document1zzF034342021482735"/>
      <w:bookmarkEnd w:id="88"/>
      <w:r>
        <w:rPr>
          <w:color w:val="000000"/>
        </w:rPr>
        <w:t xml:space="preserve"> </w:t>
      </w:r>
      <w:r>
        <w:rPr>
          <w:i/>
          <w:iCs/>
          <w:color w:val="000000"/>
        </w:rPr>
        <w:t xml:space="preserve">See </w:t>
      </w:r>
      <w:hyperlink r:id="rId425" w:history="1">
        <w:r>
          <w:rPr>
            <w:i/>
            <w:iCs/>
            <w:color w:val="0000FF"/>
            <w:u w:val="single"/>
          </w:rPr>
          <w:t>Strauss v. Credit Lyonnais, S.A.,</w:t>
        </w:r>
      </w:hyperlink>
      <w:hyperlink r:id="rId426" w:history="1">
        <w:r>
          <w:rPr>
            <w:color w:val="0000FF"/>
            <w:u w:val="single"/>
          </w:rPr>
          <w:t xml:space="preserve"> No. CV-06-0702 (CPS), 2006 WL 2862704, at *1 (E.D.N.Y. Oct. 5, 2006)</w:t>
        </w:r>
      </w:hyperlink>
      <w:r>
        <w:rPr>
          <w:color w:val="000000"/>
        </w:rPr>
        <w:t xml:space="preserve"> (“Viol</w:t>
      </w:r>
      <w:r>
        <w:rPr>
          <w:color w:val="000000"/>
        </w:rPr>
        <w:t>a</w:t>
      </w:r>
      <w:r>
        <w:rPr>
          <w:color w:val="000000"/>
        </w:rPr>
        <w:t xml:space="preserve">tions of </w:t>
      </w:r>
      <w:hyperlink r:id="rId427" w:history="1">
        <w:r>
          <w:rPr>
            <w:color w:val="0000FF"/>
            <w:u w:val="single"/>
          </w:rPr>
          <w:t>18 U.S.C. § 2339B</w:t>
        </w:r>
      </w:hyperlink>
      <w:r>
        <w:rPr>
          <w:color w:val="000000"/>
        </w:rPr>
        <w:t xml:space="preserve"> and </w:t>
      </w:r>
      <w:hyperlink r:id="rId428" w:history="1">
        <w:r>
          <w:rPr>
            <w:color w:val="0000FF"/>
            <w:u w:val="single"/>
          </w:rPr>
          <w:t>§ 2339C</w:t>
        </w:r>
      </w:hyperlink>
      <w:r>
        <w:rPr>
          <w:color w:val="000000"/>
        </w:rPr>
        <w:t xml:space="preserve"> are recognized as international terrorism under </w:t>
      </w:r>
      <w:hyperlink r:id="rId429" w:history="1">
        <w:r>
          <w:rPr>
            <w:color w:val="0000FF"/>
            <w:u w:val="single"/>
          </w:rPr>
          <w:t>18 U.S.C. § 2333(a)</w:t>
        </w:r>
      </w:hyperlink>
      <w:r>
        <w:rPr>
          <w:color w:val="000000"/>
        </w:rPr>
        <w:t xml:space="preserve">.”); </w:t>
      </w:r>
      <w:hyperlink r:id="rId430" w:history="1">
        <w:r>
          <w:rPr>
            <w:i/>
            <w:iCs/>
            <w:color w:val="0000FF"/>
            <w:u w:val="single"/>
          </w:rPr>
          <w:t>Weiss v. National Westminster Bank PLC,</w:t>
        </w:r>
      </w:hyperlink>
      <w:hyperlink r:id="rId431" w:history="1">
        <w:r>
          <w:rPr>
            <w:color w:val="0000FF"/>
            <w:u w:val="single"/>
          </w:rPr>
          <w:t xml:space="preserve"> 453 F.Supp.2d 609, 613 (E.D.N.Y.2006)</w:t>
        </w:r>
      </w:hyperlink>
      <w:r>
        <w:rPr>
          <w:color w:val="000000"/>
        </w:rPr>
        <w:t xml:space="preserve"> (same); </w:t>
      </w:r>
      <w:hyperlink r:id="rId432" w:history="1">
        <w:r>
          <w:rPr>
            <w:i/>
            <w:iCs/>
            <w:color w:val="0000FF"/>
            <w:u w:val="single"/>
          </w:rPr>
          <w:t>Almog v. Arab Bank, PLC,</w:t>
        </w:r>
      </w:hyperlink>
      <w:hyperlink r:id="rId433" w:history="1">
        <w:r>
          <w:rPr>
            <w:color w:val="0000FF"/>
            <w:u w:val="single"/>
          </w:rPr>
          <w:t xml:space="preserve"> 471 F.Supp.2d 257, 268 (E.D.N.Y.2007)</w:t>
        </w:r>
      </w:hyperlink>
      <w:r>
        <w:rPr>
          <w:color w:val="000000"/>
        </w:rPr>
        <w:t xml:space="preserve"> (“[V]iolations of </w:t>
      </w:r>
      <w:hyperlink r:id="rId434" w:history="1">
        <w:r>
          <w:rPr>
            <w:color w:val="0000FF"/>
            <w:u w:val="single"/>
          </w:rPr>
          <w:t>sections 2339A</w:t>
        </w:r>
      </w:hyperlink>
      <w:r>
        <w:rPr>
          <w:color w:val="000000"/>
        </w:rPr>
        <w:t xml:space="preserve">, </w:t>
      </w:r>
      <w:hyperlink r:id="rId435" w:history="1">
        <w:r>
          <w:rPr>
            <w:color w:val="0000FF"/>
            <w:u w:val="single"/>
          </w:rPr>
          <w:t>2339B(a)(1)</w:t>
        </w:r>
      </w:hyperlink>
      <w:r>
        <w:rPr>
          <w:color w:val="000000"/>
        </w:rPr>
        <w:t xml:space="preserve">, and </w:t>
      </w:r>
      <w:hyperlink r:id="rId436" w:history="1">
        <w:r>
          <w:rPr>
            <w:color w:val="0000FF"/>
            <w:u w:val="single"/>
          </w:rPr>
          <w:t>2339C</w:t>
        </w:r>
      </w:hyperlink>
      <w:r>
        <w:rPr>
          <w:color w:val="000000"/>
        </w:rPr>
        <w:t xml:space="preserve"> can serve as predicate crimes giving rise to liability under the ATA”); </w:t>
      </w:r>
      <w:r>
        <w:rPr>
          <w:i/>
          <w:iCs/>
          <w:color w:val="000000"/>
        </w:rPr>
        <w:t>see also</w:t>
      </w:r>
      <w:r>
        <w:rPr>
          <w:color w:val="000000"/>
        </w:rPr>
        <w:t xml:space="preserve"> Jason Binimow, </w:t>
      </w:r>
      <w:hyperlink r:id="rId437" w:history="1">
        <w:r>
          <w:rPr>
            <w:i/>
            <w:iCs/>
            <w:color w:val="0000FF"/>
            <w:u w:val="single"/>
          </w:rPr>
          <w:t>Validity, Construction, and Application of 18 U.S.C.A. § 2333(a), Which Allows U.S. Nationals Who Have Been Injured “By Reason of Act of International Terrorism” to Sue Therefor and Recover Treble Damages,</w:t>
        </w:r>
      </w:hyperlink>
      <w:hyperlink r:id="rId438" w:history="1">
        <w:r>
          <w:rPr>
            <w:color w:val="0000FF"/>
            <w:u w:val="single"/>
          </w:rPr>
          <w:t xml:space="preserve"> 195 A.L.R. Fed. 217 at § 12 (2004)</w:t>
        </w:r>
      </w:hyperlink>
      <w:r>
        <w:rPr>
          <w:color w:val="000000"/>
        </w:rPr>
        <w:t xml:space="preserve"> (citing </w:t>
      </w:r>
      <w:hyperlink r:id="rId439" w:history="1">
        <w:r>
          <w:rPr>
            <w:i/>
            <w:iCs/>
            <w:color w:val="0000FF"/>
            <w:u w:val="single"/>
          </w:rPr>
          <w:t>Boim II</w:t>
        </w:r>
      </w:hyperlink>
      <w:r>
        <w:rPr>
          <w:color w:val="000000"/>
        </w:rPr>
        <w:t xml:space="preserve"> for the proposition that violation of </w:t>
      </w:r>
      <w:hyperlink r:id="rId440" w:history="1">
        <w:r>
          <w:rPr>
            <w:color w:val="0000FF"/>
            <w:u w:val="single"/>
          </w:rPr>
          <w:t>§§ 2339A</w:t>
        </w:r>
      </w:hyperlink>
      <w:r>
        <w:rPr>
          <w:color w:val="000000"/>
        </w:rPr>
        <w:t xml:space="preserve"> or </w:t>
      </w:r>
      <w:hyperlink r:id="rId441" w:history="1">
        <w:r>
          <w:rPr>
            <w:color w:val="0000FF"/>
            <w:u w:val="single"/>
          </w:rPr>
          <w:t>2339B</w:t>
        </w:r>
      </w:hyperlink>
      <w:r>
        <w:rPr>
          <w:color w:val="000000"/>
        </w:rPr>
        <w:t xml:space="preserve"> give rise to </w:t>
      </w:r>
      <w:hyperlink r:id="rId442" w:history="1">
        <w:r>
          <w:rPr>
            <w:color w:val="0000FF"/>
            <w:u w:val="single"/>
          </w:rPr>
          <w:t>§ 2333(a)</w:t>
        </w:r>
      </w:hyperlink>
      <w:r>
        <w:rPr>
          <w:color w:val="000000"/>
        </w:rPr>
        <w:t xml:space="preserve"> liability). </w:t>
      </w:r>
      <w:r>
        <w:rPr>
          <w:i/>
          <w:iCs/>
          <w:color w:val="000000"/>
        </w:rPr>
        <w:t>Cf.</w:t>
      </w:r>
      <w:r>
        <w:rPr>
          <w:color w:val="000000"/>
        </w:rPr>
        <w:t xml:space="preserve"> Andrew Pete</w:t>
      </w:r>
      <w:r>
        <w:rPr>
          <w:color w:val="000000"/>
        </w:rPr>
        <w:t>r</w:t>
      </w:r>
      <w:r>
        <w:rPr>
          <w:color w:val="000000"/>
        </w:rPr>
        <w:t xml:space="preserve">son </w:t>
      </w:r>
      <w:hyperlink r:id="rId443" w:history="1">
        <w:r>
          <w:rPr>
            <w:i/>
            <w:iCs/>
            <w:color w:val="0000FF"/>
            <w:u w:val="single"/>
          </w:rPr>
          <w:t>Addressing Tomorrow's Terrorists,</w:t>
        </w:r>
      </w:hyperlink>
      <w:hyperlink r:id="rId444" w:history="1">
        <w:r>
          <w:rPr>
            <w:color w:val="0000FF"/>
            <w:u w:val="single"/>
          </w:rPr>
          <w:t xml:space="preserve"> 2 J. Nat'l Security L. &amp; Pol'y 297, 335 (2008)</w:t>
        </w:r>
      </w:hyperlink>
      <w:r>
        <w:rPr>
          <w:color w:val="000000"/>
        </w:rPr>
        <w:t xml:space="preserve"> (“[</w:t>
      </w:r>
      <w:proofErr w:type="gramStart"/>
      <w:r>
        <w:rPr>
          <w:color w:val="000000"/>
        </w:rPr>
        <w:t>T]he</w:t>
      </w:r>
      <w:proofErr w:type="gramEnd"/>
      <w:r>
        <w:rPr>
          <w:color w:val="000000"/>
        </w:rPr>
        <w:t xml:space="preserve"> material support sta</w:t>
      </w:r>
      <w:r>
        <w:rPr>
          <w:color w:val="000000"/>
        </w:rPr>
        <w:t>t</w:t>
      </w:r>
      <w:r>
        <w:rPr>
          <w:color w:val="000000"/>
        </w:rPr>
        <w:t xml:space="preserve">utes are an attempt to create a specific inchoate crime for terrorism, aimed especially at financiers.”). The analysis is sensible: knowingly furthering a crime through the provision of funds or material support is the sort of activity that typically gives rise to secondary liability (whether designated as “aiding or abetting” or by some other name). </w:t>
      </w:r>
      <w:hyperlink w:anchor="Document1zzB035352021482735" w:history="1">
        <w:r>
          <w:rPr>
            <w:color w:val="0000FF"/>
            <w:u w:val="single"/>
            <w:vertAlign w:val="superscript"/>
          </w:rPr>
          <w:t>FN35</w:t>
        </w:r>
      </w:hyperlink>
      <w:bookmarkStart w:id="89" w:name="Document1zzF035352021482735"/>
      <w:bookmarkEnd w:id="89"/>
      <w:r>
        <w:rPr>
          <w:color w:val="000000"/>
        </w:rPr>
        <w:t xml:space="preserve"> This logic is mirrored in numerous other contexts. For example, under the United States Sentencing Guidelines, a violation of </w:t>
      </w:r>
      <w:hyperlink r:id="rId445" w:history="1">
        <w:r>
          <w:rPr>
            <w:color w:val="0000FF"/>
            <w:u w:val="single"/>
          </w:rPr>
          <w:t>section 2339A</w:t>
        </w:r>
      </w:hyperlink>
      <w:r>
        <w:rPr>
          <w:color w:val="000000"/>
        </w:rPr>
        <w:t xml:space="preserve"> is sufficient to warrant application of the terrorism enhancement to a defendant's offense level calculation. </w:t>
      </w:r>
      <w:proofErr w:type="gramStart"/>
      <w:r>
        <w:rPr>
          <w:i/>
          <w:iCs/>
          <w:color w:val="000000"/>
        </w:rPr>
        <w:t>See</w:t>
      </w:r>
      <w:r>
        <w:rPr>
          <w:color w:val="000000"/>
        </w:rPr>
        <w:t xml:space="preserve"> </w:t>
      </w:r>
      <w:hyperlink r:id="rId446" w:history="1">
        <w:r>
          <w:rPr>
            <w:color w:val="0000FF"/>
            <w:u w:val="single"/>
          </w:rPr>
          <w:t>U.S.S.G. § 3A1.4</w:t>
        </w:r>
      </w:hyperlink>
      <w:r>
        <w:rPr>
          <w:color w:val="000000"/>
        </w:rPr>
        <w:t xml:space="preserve"> Application Note 2.</w:t>
      </w:r>
      <w:proofErr w:type="gramEnd"/>
      <w:r>
        <w:rPr>
          <w:color w:val="000000"/>
        </w:rPr>
        <w:t xml:space="preserve"> Similarly, under federal immigration law, for purposes of determining whether an alien is ineligible for a visa or admission to the United States for having “engaged in te</w:t>
      </w:r>
      <w:r>
        <w:rPr>
          <w:color w:val="000000"/>
        </w:rPr>
        <w:t>r</w:t>
      </w:r>
      <w:r>
        <w:rPr>
          <w:color w:val="000000"/>
        </w:rPr>
        <w:t xml:space="preserve">rorist activity,” that term is defined to include having provided material support or funds to a terrorist organization while the donor knew or reasonably should have known the identity of the recipient. </w:t>
      </w:r>
      <w:r>
        <w:rPr>
          <w:i/>
          <w:iCs/>
          <w:color w:val="000000"/>
        </w:rPr>
        <w:t>See</w:t>
      </w:r>
      <w:r>
        <w:rPr>
          <w:color w:val="000000"/>
        </w:rPr>
        <w:t xml:space="preserve"> </w:t>
      </w:r>
      <w:hyperlink r:id="rId447" w:history="1">
        <w:r>
          <w:rPr>
            <w:color w:val="0000FF"/>
            <w:u w:val="single"/>
          </w:rPr>
          <w:t>8 U.S.C.A. § 1182</w:t>
        </w:r>
      </w:hyperlink>
      <w:r>
        <w:rPr>
          <w:color w:val="000000"/>
        </w:rPr>
        <w:t>(A)(3)(B)(</w:t>
      </w:r>
      <w:proofErr w:type="gramStart"/>
      <w:r>
        <w:rPr>
          <w:color w:val="000000"/>
        </w:rPr>
        <w:t>vi</w:t>
      </w:r>
      <w:proofErr w:type="gramEnd"/>
      <w:r>
        <w:rPr>
          <w:color w:val="000000"/>
        </w:rPr>
        <w:t>). In order for the Secretary of State to determine that an organization “engage[s] in terrorist activ</w:t>
      </w:r>
      <w:r>
        <w:rPr>
          <w:color w:val="000000"/>
        </w:rPr>
        <w:t>i</w:t>
      </w:r>
      <w:r>
        <w:rPr>
          <w:color w:val="000000"/>
        </w:rPr>
        <w:t>ty” for the purpose of designating it as a “foreign terrorist organization” (as Hamas has been designated), the Secr</w:t>
      </w:r>
      <w:r>
        <w:rPr>
          <w:color w:val="000000"/>
        </w:rPr>
        <w:t>e</w:t>
      </w:r>
      <w:r>
        <w:rPr>
          <w:color w:val="000000"/>
        </w:rPr>
        <w:t xml:space="preserve">tary may find that the organization has provided material support to terrorist organizations. </w:t>
      </w:r>
      <w:r>
        <w:rPr>
          <w:i/>
          <w:iCs/>
          <w:color w:val="000000"/>
        </w:rPr>
        <w:t>See</w:t>
      </w:r>
      <w:r>
        <w:rPr>
          <w:color w:val="000000"/>
        </w:rPr>
        <w:t xml:space="preserve"> </w:t>
      </w:r>
      <w:hyperlink r:id="rId448" w:history="1">
        <w:r>
          <w:rPr>
            <w:color w:val="0000FF"/>
            <w:u w:val="single"/>
          </w:rPr>
          <w:t>8 U.S.C. § 1189</w:t>
        </w:r>
      </w:hyperlink>
      <w:r>
        <w:rPr>
          <w:color w:val="000000"/>
        </w:rPr>
        <w:t xml:space="preserve"> (i</w:t>
      </w:r>
      <w:r>
        <w:rPr>
          <w:color w:val="000000"/>
        </w:rPr>
        <w:t>n</w:t>
      </w:r>
      <w:r>
        <w:rPr>
          <w:color w:val="000000"/>
        </w:rPr>
        <w:t xml:space="preserve">corporating definitions of </w:t>
      </w:r>
      <w:hyperlink r:id="rId449" w:history="1">
        <w:r>
          <w:rPr>
            <w:color w:val="0000FF"/>
            <w:u w:val="single"/>
          </w:rPr>
          <w:t>8 U.S.C. § 1182(a)(3)(B)</w:t>
        </w:r>
      </w:hyperlink>
      <w:r>
        <w:rPr>
          <w:color w:val="000000"/>
        </w:rPr>
        <w:t xml:space="preserve">). Finally, for purposes of crafting an exception to the Foreign Sovereign Immunities Act, Congress permits foreign states that have been designated state sponsors of terrorism to be sued in United States courts not only for acts of terrorism, but also for providing material support to terrorists in violation of 2339A. </w:t>
      </w:r>
      <w:r>
        <w:rPr>
          <w:i/>
          <w:iCs/>
          <w:color w:val="000000"/>
        </w:rPr>
        <w:t>See</w:t>
      </w:r>
      <w:r>
        <w:rPr>
          <w:color w:val="000000"/>
        </w:rPr>
        <w:t xml:space="preserve"> </w:t>
      </w:r>
      <w:hyperlink r:id="rId450" w:history="1">
        <w:r>
          <w:rPr>
            <w:color w:val="0000FF"/>
            <w:u w:val="single"/>
          </w:rPr>
          <w:t>28 U.S.C. § 1605A(a)</w:t>
        </w:r>
      </w:hyperlink>
      <w:r>
        <w:rPr>
          <w:color w:val="000000"/>
        </w:rPr>
        <w:t xml:space="preserve"> &amp; </w:t>
      </w:r>
      <w:hyperlink r:id="rId451" w:history="1">
        <w:r>
          <w:rPr>
            <w:color w:val="0000FF"/>
            <w:u w:val="single"/>
          </w:rPr>
          <w:t>(h)</w:t>
        </w:r>
      </w:hyperlink>
      <w:r>
        <w:rPr>
          <w:color w:val="000000"/>
        </w:rPr>
        <w:t>.</w:t>
      </w:r>
      <w:hyperlink w:anchor="Document1zzB036362021482735" w:history="1">
        <w:r>
          <w:rPr>
            <w:color w:val="0000FF"/>
            <w:u w:val="single"/>
            <w:vertAlign w:val="superscript"/>
          </w:rPr>
          <w:t>FN36</w:t>
        </w:r>
      </w:hyperlink>
      <w:bookmarkStart w:id="90" w:name="Document1zzF036362021482735"/>
      <w:bookmarkEnd w:id="90"/>
      <w:r>
        <w:rPr>
          <w:color w:val="000000"/>
        </w:rPr>
        <w:t xml:space="preserve"> In light of the persuasive case law and logic supporting the September 24th Order's conclusion that violations of sections 2339A-C may serve as predicates for 2333(a) liability, this question does not warrant certification for interlocutory appeal.</w:t>
      </w:r>
    </w:p>
    <w:p w14:paraId="6091FC29" w14:textId="77777777" w:rsidR="003C7122" w:rsidRDefault="003C7122">
      <w:pPr>
        <w:widowControl w:val="0"/>
        <w:autoSpaceDE w:val="0"/>
        <w:autoSpaceDN w:val="0"/>
        <w:adjustRightInd w:val="0"/>
        <w:rPr>
          <w:color w:val="000000"/>
          <w:sz w:val="24"/>
          <w:szCs w:val="24"/>
        </w:rPr>
      </w:pPr>
    </w:p>
    <w:p w14:paraId="5B839B71" w14:textId="77777777" w:rsidR="003C7122" w:rsidRDefault="00D24980">
      <w:pPr>
        <w:widowControl w:val="0"/>
        <w:autoSpaceDE w:val="0"/>
        <w:autoSpaceDN w:val="0"/>
        <w:adjustRightInd w:val="0"/>
        <w:ind w:left="720"/>
        <w:jc w:val="both"/>
        <w:rPr>
          <w:color w:val="000000"/>
          <w:sz w:val="24"/>
          <w:szCs w:val="24"/>
        </w:rPr>
      </w:pPr>
      <w:hyperlink w:anchor="Document1zzF034342021482735" w:history="1">
        <w:r w:rsidR="00D75BF9">
          <w:rPr>
            <w:color w:val="0000FF"/>
            <w:u w:val="single"/>
          </w:rPr>
          <w:t>FN34.</w:t>
        </w:r>
      </w:hyperlink>
      <w:bookmarkStart w:id="91" w:name="Document1zzB034342021482735"/>
      <w:bookmarkEnd w:id="91"/>
      <w:r w:rsidR="00D75BF9">
        <w:rPr>
          <w:color w:val="000000"/>
        </w:rPr>
        <w:t xml:space="preserve"> Defense counsel conceded at oral argument on December 29, 2009 that they are aware of no case law supporting their position. Tr. 36.</w:t>
      </w:r>
    </w:p>
    <w:p w14:paraId="62EF2321" w14:textId="77777777" w:rsidR="003C7122" w:rsidRDefault="003C7122">
      <w:pPr>
        <w:widowControl w:val="0"/>
        <w:autoSpaceDE w:val="0"/>
        <w:autoSpaceDN w:val="0"/>
        <w:adjustRightInd w:val="0"/>
        <w:rPr>
          <w:color w:val="000000"/>
          <w:sz w:val="24"/>
          <w:szCs w:val="24"/>
        </w:rPr>
      </w:pPr>
    </w:p>
    <w:p w14:paraId="0B23841B" w14:textId="77777777" w:rsidR="003C7122" w:rsidRDefault="00D24980">
      <w:pPr>
        <w:widowControl w:val="0"/>
        <w:autoSpaceDE w:val="0"/>
        <w:autoSpaceDN w:val="0"/>
        <w:adjustRightInd w:val="0"/>
        <w:ind w:left="720"/>
        <w:jc w:val="both"/>
        <w:rPr>
          <w:color w:val="000000"/>
          <w:sz w:val="24"/>
          <w:szCs w:val="24"/>
        </w:rPr>
      </w:pPr>
      <w:hyperlink w:anchor="Document1zzF035352021482735" w:history="1">
        <w:r w:rsidR="00D75BF9">
          <w:rPr>
            <w:color w:val="0000FF"/>
            <w:u w:val="single"/>
          </w:rPr>
          <w:t>FN35.</w:t>
        </w:r>
      </w:hyperlink>
      <w:bookmarkStart w:id="92" w:name="Document1zzB035352021482735"/>
      <w:bookmarkEnd w:id="92"/>
      <w:r w:rsidR="00D75BF9">
        <w:rPr>
          <w:color w:val="000000"/>
        </w:rPr>
        <w:t xml:space="preserve"> As Judge Posner explained in </w:t>
      </w:r>
      <w:hyperlink r:id="rId452" w:history="1">
        <w:r w:rsidR="00D75BF9">
          <w:rPr>
            <w:i/>
            <w:iCs/>
            <w:color w:val="0000FF"/>
            <w:u w:val="single"/>
          </w:rPr>
          <w:t>Boim III:</w:t>
        </w:r>
      </w:hyperlink>
      <w:r w:rsidR="00D75BF9">
        <w:rPr>
          <w:color w:val="000000"/>
        </w:rPr>
        <w:t xml:space="preserve"> “Primary liability in the form of material support to terro</w:t>
      </w:r>
      <w:r w:rsidR="00D75BF9">
        <w:rPr>
          <w:color w:val="000000"/>
        </w:rPr>
        <w:t>r</w:t>
      </w:r>
      <w:r w:rsidR="00D75BF9">
        <w:rPr>
          <w:color w:val="000000"/>
        </w:rPr>
        <w:t xml:space="preserve">ism has the character of secondary liability. Through a chain of incorporations by reference, Congress has expressly imposed liability on a class of aiders and abettors.” </w:t>
      </w:r>
      <w:hyperlink r:id="rId453" w:history="1">
        <w:r w:rsidR="00D75BF9">
          <w:rPr>
            <w:i/>
            <w:iCs/>
            <w:color w:val="0000FF"/>
            <w:u w:val="single"/>
          </w:rPr>
          <w:t>Id.</w:t>
        </w:r>
      </w:hyperlink>
      <w:hyperlink r:id="rId454" w:history="1">
        <w:r w:rsidR="00D75BF9">
          <w:rPr>
            <w:color w:val="0000FF"/>
            <w:u w:val="single"/>
          </w:rPr>
          <w:t xml:space="preserve"> </w:t>
        </w:r>
        <w:proofErr w:type="gramStart"/>
        <w:r w:rsidR="00D75BF9">
          <w:rPr>
            <w:color w:val="0000FF"/>
            <w:u w:val="single"/>
          </w:rPr>
          <w:t>at</w:t>
        </w:r>
        <w:proofErr w:type="gramEnd"/>
        <w:r w:rsidR="00D75BF9">
          <w:rPr>
            <w:color w:val="0000FF"/>
            <w:u w:val="single"/>
          </w:rPr>
          <w:t xml:space="preserve"> 691-92.</w:t>
        </w:r>
      </w:hyperlink>
    </w:p>
    <w:p w14:paraId="6C8FAE7D" w14:textId="77777777" w:rsidR="003C7122" w:rsidRDefault="003C7122">
      <w:pPr>
        <w:widowControl w:val="0"/>
        <w:autoSpaceDE w:val="0"/>
        <w:autoSpaceDN w:val="0"/>
        <w:adjustRightInd w:val="0"/>
        <w:rPr>
          <w:color w:val="000000"/>
          <w:sz w:val="24"/>
          <w:szCs w:val="24"/>
        </w:rPr>
      </w:pPr>
    </w:p>
    <w:p w14:paraId="5F25D177" w14:textId="77777777" w:rsidR="003C7122" w:rsidRDefault="00D24980">
      <w:pPr>
        <w:widowControl w:val="0"/>
        <w:autoSpaceDE w:val="0"/>
        <w:autoSpaceDN w:val="0"/>
        <w:adjustRightInd w:val="0"/>
        <w:ind w:left="720"/>
        <w:jc w:val="both"/>
        <w:rPr>
          <w:color w:val="000000"/>
          <w:sz w:val="24"/>
          <w:szCs w:val="24"/>
        </w:rPr>
      </w:pPr>
      <w:hyperlink w:anchor="Document1zzF036362021482735" w:history="1">
        <w:r w:rsidR="00D75BF9">
          <w:rPr>
            <w:color w:val="0000FF"/>
            <w:u w:val="single"/>
          </w:rPr>
          <w:t>FN36.</w:t>
        </w:r>
      </w:hyperlink>
      <w:bookmarkStart w:id="93" w:name="Document1zzB036362021482735"/>
      <w:bookmarkEnd w:id="93"/>
      <w:r w:rsidR="00D75BF9">
        <w:rPr>
          <w:color w:val="000000"/>
        </w:rPr>
        <w:t xml:space="preserve"> The </w:t>
      </w:r>
      <w:hyperlink r:id="rId455" w:history="1">
        <w:r w:rsidR="00D75BF9">
          <w:rPr>
            <w:i/>
            <w:iCs/>
            <w:color w:val="0000FF"/>
            <w:u w:val="single"/>
          </w:rPr>
          <w:t>Boim II</w:t>
        </w:r>
      </w:hyperlink>
      <w:r w:rsidR="00D75BF9">
        <w:rPr>
          <w:color w:val="000000"/>
        </w:rPr>
        <w:t xml:space="preserve"> decision explicitly considered the passage of </w:t>
      </w:r>
      <w:hyperlink r:id="rId456" w:history="1">
        <w:r w:rsidR="00D75BF9">
          <w:rPr>
            <w:color w:val="0000FF"/>
            <w:u w:val="single"/>
          </w:rPr>
          <w:t>28 U.S.C. § 1605(a)(7)</w:t>
        </w:r>
      </w:hyperlink>
      <w:r w:rsidR="00D75BF9">
        <w:rPr>
          <w:color w:val="000000"/>
        </w:rPr>
        <w:t xml:space="preserve"> as evidencing co</w:t>
      </w:r>
      <w:r w:rsidR="00D75BF9">
        <w:rPr>
          <w:color w:val="000000"/>
        </w:rPr>
        <w:t>n</w:t>
      </w:r>
      <w:r w:rsidR="00D75BF9">
        <w:rPr>
          <w:color w:val="000000"/>
        </w:rPr>
        <w:t xml:space="preserve">gressional intent that material support violations may give rise to civil liability under </w:t>
      </w:r>
      <w:hyperlink r:id="rId457" w:history="1">
        <w:r w:rsidR="00D75BF9">
          <w:rPr>
            <w:color w:val="0000FF"/>
            <w:u w:val="single"/>
          </w:rPr>
          <w:t>section 2333(a)</w:t>
        </w:r>
      </w:hyperlink>
      <w:r w:rsidR="00D75BF9">
        <w:rPr>
          <w:color w:val="000000"/>
        </w:rPr>
        <w:t xml:space="preserve">. </w:t>
      </w:r>
      <w:r w:rsidR="00D75BF9">
        <w:rPr>
          <w:i/>
          <w:iCs/>
          <w:color w:val="000000"/>
        </w:rPr>
        <w:t xml:space="preserve">See </w:t>
      </w:r>
      <w:hyperlink r:id="rId458" w:history="1">
        <w:r w:rsidR="00D75BF9">
          <w:rPr>
            <w:i/>
            <w:iCs/>
            <w:color w:val="0000FF"/>
            <w:u w:val="single"/>
          </w:rPr>
          <w:t>Boim II,</w:t>
        </w:r>
      </w:hyperlink>
      <w:hyperlink r:id="rId459" w:history="1">
        <w:r w:rsidR="00D75BF9">
          <w:rPr>
            <w:color w:val="0000FF"/>
            <w:u w:val="single"/>
          </w:rPr>
          <w:t xml:space="preserve"> 291 F.3d at 1015-16.</w:t>
        </w:r>
      </w:hyperlink>
      <w:r w:rsidR="00D75BF9">
        <w:rPr>
          <w:color w:val="000000"/>
        </w:rPr>
        <w:t xml:space="preserve"> </w:t>
      </w:r>
      <w:hyperlink r:id="rId460" w:history="1">
        <w:r w:rsidR="00D75BF9">
          <w:rPr>
            <w:color w:val="0000FF"/>
            <w:u w:val="single"/>
          </w:rPr>
          <w:t>28 U.S.C. § 1605(a)(7)</w:t>
        </w:r>
      </w:hyperlink>
      <w:r w:rsidR="00D75BF9">
        <w:rPr>
          <w:color w:val="000000"/>
        </w:rPr>
        <w:t xml:space="preserve"> was repealed in 2008 and replaced by § 1083(a)(1) of the National Defense Authorization Act for Fiscal Year 2008 (NDAA), 122 Stat. 338, </w:t>
      </w:r>
      <w:hyperlink r:id="rId461" w:history="1">
        <w:r w:rsidR="00D75BF9">
          <w:rPr>
            <w:color w:val="0000FF"/>
            <w:u w:val="single"/>
          </w:rPr>
          <w:t>28 U.S.C. § 1605A</w:t>
        </w:r>
      </w:hyperlink>
      <w:r w:rsidR="00D75BF9">
        <w:rPr>
          <w:color w:val="000000"/>
        </w:rPr>
        <w:t>, which is identical in all respects relevant to this discussion.</w:t>
      </w:r>
    </w:p>
    <w:p w14:paraId="48E1BD56" w14:textId="77777777" w:rsidR="003C7122" w:rsidRDefault="003C7122">
      <w:pPr>
        <w:widowControl w:val="0"/>
        <w:autoSpaceDE w:val="0"/>
        <w:autoSpaceDN w:val="0"/>
        <w:adjustRightInd w:val="0"/>
        <w:rPr>
          <w:color w:val="000000"/>
          <w:sz w:val="24"/>
          <w:szCs w:val="24"/>
        </w:rPr>
      </w:pPr>
    </w:p>
    <w:p w14:paraId="172976CB" w14:textId="77777777" w:rsidR="003C7122" w:rsidRDefault="00D75BF9">
      <w:pPr>
        <w:widowControl w:val="0"/>
        <w:autoSpaceDE w:val="0"/>
        <w:autoSpaceDN w:val="0"/>
        <w:adjustRightInd w:val="0"/>
        <w:jc w:val="center"/>
        <w:rPr>
          <w:color w:val="000000"/>
          <w:sz w:val="24"/>
          <w:szCs w:val="24"/>
        </w:rPr>
      </w:pPr>
      <w:r>
        <w:rPr>
          <w:b/>
          <w:bCs/>
          <w:color w:val="000000"/>
        </w:rPr>
        <w:t>CONCLUSION</w:t>
      </w:r>
    </w:p>
    <w:p w14:paraId="2CBF0876" w14:textId="77777777" w:rsidR="003C7122" w:rsidRDefault="00D75BF9">
      <w:pPr>
        <w:widowControl w:val="0"/>
        <w:autoSpaceDE w:val="0"/>
        <w:autoSpaceDN w:val="0"/>
        <w:adjustRightInd w:val="0"/>
        <w:ind w:firstLine="360"/>
        <w:jc w:val="both"/>
        <w:rPr>
          <w:color w:val="000000"/>
          <w:sz w:val="24"/>
          <w:szCs w:val="24"/>
        </w:rPr>
      </w:pPr>
      <w:r>
        <w:rPr>
          <w:color w:val="000000"/>
        </w:rPr>
        <w:t>For the reasons set forth above, defendant UBS's motion for reconsideration and motion to certify the Septe</w:t>
      </w:r>
      <w:r>
        <w:rPr>
          <w:color w:val="000000"/>
        </w:rPr>
        <w:t>m</w:t>
      </w:r>
      <w:r>
        <w:rPr>
          <w:color w:val="000000"/>
        </w:rPr>
        <w:t>ber 24, 2009 Order for interlocutory appeal are both denied. The Clerk is hereby directed to transmit a copy of the within to the parties and the Magistrate Judge.</w:t>
      </w:r>
    </w:p>
    <w:p w14:paraId="37B471FB" w14:textId="77777777" w:rsidR="003C7122" w:rsidRDefault="003C7122">
      <w:pPr>
        <w:widowControl w:val="0"/>
        <w:autoSpaceDE w:val="0"/>
        <w:autoSpaceDN w:val="0"/>
        <w:adjustRightInd w:val="0"/>
        <w:rPr>
          <w:color w:val="000000"/>
          <w:sz w:val="24"/>
          <w:szCs w:val="24"/>
        </w:rPr>
      </w:pPr>
    </w:p>
    <w:p w14:paraId="20857F3B" w14:textId="77777777" w:rsidR="003C7122" w:rsidRDefault="00D75BF9">
      <w:pPr>
        <w:widowControl w:val="0"/>
        <w:autoSpaceDE w:val="0"/>
        <w:autoSpaceDN w:val="0"/>
        <w:adjustRightInd w:val="0"/>
        <w:ind w:firstLine="360"/>
        <w:jc w:val="both"/>
        <w:rPr>
          <w:color w:val="000000"/>
          <w:sz w:val="24"/>
          <w:szCs w:val="24"/>
        </w:rPr>
      </w:pPr>
      <w:r>
        <w:rPr>
          <w:color w:val="000000"/>
        </w:rPr>
        <w:t>SO ORDERED.</w:t>
      </w:r>
    </w:p>
    <w:p w14:paraId="3C6EB421" w14:textId="77777777" w:rsidR="003C7122" w:rsidRDefault="003C7122">
      <w:pPr>
        <w:widowControl w:val="0"/>
        <w:autoSpaceDE w:val="0"/>
        <w:autoSpaceDN w:val="0"/>
        <w:adjustRightInd w:val="0"/>
        <w:rPr>
          <w:color w:val="000000"/>
          <w:sz w:val="24"/>
          <w:szCs w:val="24"/>
        </w:rPr>
      </w:pPr>
    </w:p>
    <w:p w14:paraId="7E012A94" w14:textId="77777777" w:rsidR="003C7122" w:rsidRDefault="00D75BF9">
      <w:pPr>
        <w:widowControl w:val="0"/>
        <w:autoSpaceDE w:val="0"/>
        <w:autoSpaceDN w:val="0"/>
        <w:adjustRightInd w:val="0"/>
        <w:jc w:val="both"/>
        <w:rPr>
          <w:color w:val="000000"/>
          <w:sz w:val="24"/>
          <w:szCs w:val="24"/>
        </w:rPr>
      </w:pPr>
      <w:r>
        <w:rPr>
          <w:color w:val="000000"/>
        </w:rPr>
        <w:t>E.D.N.Y.</w:t>
      </w:r>
      <w:proofErr w:type="gramStart"/>
      <w:r>
        <w:rPr>
          <w:color w:val="000000"/>
        </w:rPr>
        <w:t>,2010</w:t>
      </w:r>
      <w:proofErr w:type="gramEnd"/>
      <w:r>
        <w:rPr>
          <w:color w:val="000000"/>
        </w:rPr>
        <w:t>.</w:t>
      </w:r>
    </w:p>
    <w:p w14:paraId="0DCB72BE" w14:textId="77777777" w:rsidR="003C7122" w:rsidRDefault="00D75BF9">
      <w:pPr>
        <w:widowControl w:val="0"/>
        <w:autoSpaceDE w:val="0"/>
        <w:autoSpaceDN w:val="0"/>
        <w:adjustRightInd w:val="0"/>
        <w:jc w:val="both"/>
        <w:rPr>
          <w:color w:val="000000"/>
          <w:sz w:val="24"/>
          <w:szCs w:val="24"/>
        </w:rPr>
      </w:pPr>
      <w:r>
        <w:rPr>
          <w:color w:val="000000"/>
        </w:rPr>
        <w:t>Goldberg v. UBS AG</w:t>
      </w:r>
    </w:p>
    <w:p w14:paraId="50FDA9FB" w14:textId="77777777" w:rsidR="003C7122" w:rsidRDefault="00D75BF9">
      <w:pPr>
        <w:widowControl w:val="0"/>
        <w:autoSpaceDE w:val="0"/>
        <w:autoSpaceDN w:val="0"/>
        <w:adjustRightInd w:val="0"/>
        <w:jc w:val="both"/>
        <w:rPr>
          <w:color w:val="000000"/>
          <w:sz w:val="24"/>
          <w:szCs w:val="24"/>
        </w:rPr>
      </w:pPr>
      <w:r>
        <w:rPr>
          <w:color w:val="000000"/>
        </w:rPr>
        <w:t>690 F.Supp.2d 92</w:t>
      </w:r>
    </w:p>
    <w:p w14:paraId="2E6EDC8C" w14:textId="77777777" w:rsidR="003C7122" w:rsidRDefault="003C7122">
      <w:pPr>
        <w:widowControl w:val="0"/>
        <w:autoSpaceDE w:val="0"/>
        <w:autoSpaceDN w:val="0"/>
        <w:adjustRightInd w:val="0"/>
        <w:rPr>
          <w:color w:val="000000"/>
          <w:sz w:val="24"/>
          <w:szCs w:val="24"/>
        </w:rPr>
      </w:pPr>
    </w:p>
    <w:p w14:paraId="6E0FC2F2" w14:textId="77777777" w:rsidR="003C7122" w:rsidRDefault="00D75BF9">
      <w:pPr>
        <w:widowControl w:val="0"/>
        <w:autoSpaceDE w:val="0"/>
        <w:autoSpaceDN w:val="0"/>
        <w:adjustRightInd w:val="0"/>
        <w:jc w:val="both"/>
        <w:rPr>
          <w:color w:val="000000"/>
          <w:sz w:val="24"/>
          <w:szCs w:val="24"/>
        </w:rPr>
      </w:pPr>
      <w:r>
        <w:rPr>
          <w:color w:val="000000"/>
        </w:rPr>
        <w:t>END OF DOCUMENT</w:t>
      </w:r>
    </w:p>
    <w:p w14:paraId="6DB6A0D1" w14:textId="77777777" w:rsidR="003C7122" w:rsidRDefault="003C7122">
      <w:pPr>
        <w:widowControl w:val="0"/>
        <w:autoSpaceDE w:val="0"/>
        <w:autoSpaceDN w:val="0"/>
        <w:adjustRightInd w:val="0"/>
        <w:rPr>
          <w:color w:val="000000"/>
          <w:sz w:val="24"/>
          <w:szCs w:val="24"/>
        </w:rPr>
      </w:pPr>
      <w:bookmarkStart w:id="94" w:name="last-page"/>
      <w:bookmarkEnd w:id="94"/>
    </w:p>
    <w:p w14:paraId="12446924" w14:textId="77777777" w:rsidR="003C7122" w:rsidRDefault="003C7122">
      <w:pPr>
        <w:widowControl w:val="0"/>
        <w:autoSpaceDE w:val="0"/>
        <w:autoSpaceDN w:val="0"/>
        <w:adjustRightInd w:val="0"/>
        <w:rPr>
          <w:sz w:val="24"/>
          <w:szCs w:val="24"/>
        </w:rPr>
      </w:pPr>
    </w:p>
    <w:sectPr w:rsidR="003C7122" w:rsidSect="00D75BF9">
      <w:headerReference w:type="default" r:id="rId462"/>
      <w:footerReference w:type="default" r:id="rId463"/>
      <w:type w:val="continuous"/>
      <w:pgSz w:w="12240" w:h="15840"/>
      <w:pgMar w:top="2016" w:right="1440" w:bottom="1800" w:left="1440" w:header="720" w:footer="720" w:gutter="0"/>
      <w:cols w:space="720"/>
      <w:noEndnote/>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D734F1F" w14:textId="77777777" w:rsidR="003C7122" w:rsidRDefault="00D75BF9">
      <w:r>
        <w:separator/>
      </w:r>
    </w:p>
  </w:endnote>
  <w:endnote w:type="continuationSeparator" w:id="0">
    <w:p w14:paraId="5A80E85C" w14:textId="77777777" w:rsidR="003C7122" w:rsidRDefault="00D75B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00002A87" w:usb1="80000000" w:usb2="00000008" w:usb3="00000000" w:csb0="000001FF"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2C3C608" w14:textId="77777777" w:rsidR="003C7122" w:rsidRDefault="00D75BF9">
    <w:pPr>
      <w:widowControl w:val="0"/>
      <w:autoSpaceDE w:val="0"/>
      <w:autoSpaceDN w:val="0"/>
      <w:adjustRightInd w:val="0"/>
      <w:jc w:val="center"/>
      <w:rPr>
        <w:rFonts w:ascii="Arial" w:hAnsi="Arial" w:cs="Arial"/>
        <w:color w:val="000000"/>
        <w:sz w:val="24"/>
        <w:szCs w:val="24"/>
      </w:rPr>
    </w:pPr>
    <w:r>
      <w:rPr>
        <w:color w:val="000000"/>
      </w:rPr>
      <w:t>© 2012 Thomson Reuters. No Claim to Orig. US Gov. Works.</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C6C2408" w14:textId="77777777" w:rsidR="003C7122" w:rsidRDefault="00D75BF9">
      <w:r>
        <w:separator/>
      </w:r>
    </w:p>
  </w:footnote>
  <w:footnote w:type="continuationSeparator" w:id="0">
    <w:p w14:paraId="5E9E0B0A" w14:textId="77777777" w:rsidR="003C7122" w:rsidRDefault="00D75BF9">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ayout w:type="fixed"/>
      <w:tblCellMar>
        <w:left w:w="0" w:type="dxa"/>
        <w:right w:w="0" w:type="dxa"/>
      </w:tblCellMar>
      <w:tblLook w:val="0000" w:firstRow="0" w:lastRow="0" w:firstColumn="0" w:lastColumn="0" w:noHBand="0" w:noVBand="0"/>
    </w:tblPr>
    <w:tblGrid>
      <w:gridCol w:w="6480"/>
      <w:gridCol w:w="2880"/>
    </w:tblGrid>
    <w:tr w:rsidR="003C7122" w14:paraId="7B9C0448" w14:textId="77777777">
      <w:tc>
        <w:tcPr>
          <w:tcW w:w="6480" w:type="dxa"/>
          <w:tcBorders>
            <w:top w:val="nil"/>
            <w:left w:val="nil"/>
            <w:bottom w:val="nil"/>
            <w:right w:val="nil"/>
          </w:tcBorders>
          <w:tcMar>
            <w:top w:w="0" w:type="dxa"/>
            <w:left w:w="0" w:type="dxa"/>
            <w:bottom w:w="0" w:type="dxa"/>
            <w:right w:w="0" w:type="dxa"/>
          </w:tcMar>
        </w:tcPr>
        <w:p w14:paraId="3A79FAC1" w14:textId="77777777" w:rsidR="003C7122" w:rsidRDefault="00D75BF9">
          <w:pPr>
            <w:widowControl w:val="0"/>
            <w:autoSpaceDE w:val="0"/>
            <w:autoSpaceDN w:val="0"/>
            <w:adjustRightInd w:val="0"/>
            <w:rPr>
              <w:rFonts w:ascii="Arial" w:hAnsi="Arial" w:cs="Arial"/>
              <w:color w:val="000000"/>
              <w:sz w:val="24"/>
              <w:szCs w:val="24"/>
            </w:rPr>
          </w:pPr>
          <w:r>
            <w:rPr>
              <w:color w:val="000000"/>
            </w:rPr>
            <w:t> </w:t>
          </w:r>
        </w:p>
        <w:p w14:paraId="74958F42" w14:textId="77777777" w:rsidR="003C7122" w:rsidRDefault="003C7122">
          <w:pPr>
            <w:widowControl w:val="0"/>
            <w:autoSpaceDE w:val="0"/>
            <w:autoSpaceDN w:val="0"/>
            <w:adjustRightInd w:val="0"/>
            <w:rPr>
              <w:rFonts w:ascii="Arial" w:hAnsi="Arial" w:cs="Arial"/>
              <w:color w:val="000000"/>
              <w:sz w:val="24"/>
              <w:szCs w:val="24"/>
            </w:rPr>
          </w:pPr>
        </w:p>
      </w:tc>
      <w:tc>
        <w:tcPr>
          <w:tcW w:w="2880" w:type="dxa"/>
          <w:tcBorders>
            <w:top w:val="nil"/>
            <w:left w:val="nil"/>
            <w:bottom w:val="nil"/>
            <w:right w:val="nil"/>
          </w:tcBorders>
          <w:tcMar>
            <w:top w:w="0" w:type="dxa"/>
            <w:left w:w="0" w:type="dxa"/>
            <w:bottom w:w="0" w:type="dxa"/>
            <w:right w:w="0" w:type="dxa"/>
          </w:tcMar>
        </w:tcPr>
        <w:p w14:paraId="28A5CC51" w14:textId="77777777" w:rsidR="003C7122" w:rsidRDefault="00D75BF9">
          <w:pPr>
            <w:widowControl w:val="0"/>
            <w:autoSpaceDE w:val="0"/>
            <w:autoSpaceDN w:val="0"/>
            <w:adjustRightInd w:val="0"/>
            <w:jc w:val="right"/>
            <w:rPr>
              <w:rFonts w:ascii="Arial" w:hAnsi="Arial" w:cs="Arial"/>
              <w:color w:val="000000"/>
              <w:sz w:val="24"/>
              <w:szCs w:val="24"/>
            </w:rPr>
          </w:pPr>
          <w:r>
            <w:rPr>
              <w:color w:val="000000"/>
            </w:rPr>
            <w:t xml:space="preserve">Page </w:t>
          </w:r>
          <w:r>
            <w:rPr>
              <w:color w:val="000000"/>
            </w:rPr>
            <w:pgNum/>
          </w:r>
        </w:p>
      </w:tc>
    </w:tr>
  </w:tbl>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0"/>
  <w:embedSystemFonts/>
  <w:bordersDoNotSurroundHeader/>
  <w:bordersDoNotSurroundFooter/>
  <w:proofState w:grammar="clean"/>
  <w:defaultTabStop w:val="720"/>
  <w:autoHyphenation/>
  <w:drawingGridHorizontalSpacing w:val="120"/>
  <w:drawingGridVerticalSpacing w:val="120"/>
  <w:displayHorizontalDrawingGridEvery w:val="0"/>
  <w:displayVerticalDrawingGridEvery w:val="3"/>
  <w:doNotUseMarginsForDrawingGridOrigin/>
  <w:doNotShadeFormData/>
  <w:characterSpacingControl w:val="compressPunctuation"/>
  <w:savePreviewPicture/>
  <w:doNotValidateAgainstSchema/>
  <w:doNotDemarcateInvalidXml/>
  <w:footnotePr>
    <w:footnote w:id="-1"/>
    <w:footnote w:id="0"/>
  </w:footnotePr>
  <w:endnotePr>
    <w:endnote w:id="-1"/>
    <w:endnote w:id="0"/>
  </w:endnotePr>
  <w:compat>
    <w:spaceForUL/>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76E2"/>
    <w:rsid w:val="003C7122"/>
    <w:rsid w:val="00D24980"/>
    <w:rsid w:val="00D376E2"/>
    <w:rsid w:val="00D75BF9"/>
    <w:rsid w:val="00D94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14:docId w14:val="517C4360"/>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5BF9"/>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75BF9"/>
    <w:rPr>
      <w:rFonts w:ascii="Lucida Grande" w:hAnsi="Lucida Grande" w:cs="Lucida Grande"/>
      <w:sz w:val="18"/>
      <w:szCs w:val="18"/>
    </w:rPr>
  </w:style>
  <w:style w:type="paragraph" w:styleId="Header">
    <w:name w:val="header"/>
    <w:basedOn w:val="Normal"/>
    <w:link w:val="HeaderChar"/>
    <w:uiPriority w:val="99"/>
    <w:unhideWhenUsed/>
    <w:rsid w:val="00D75BF9"/>
    <w:pPr>
      <w:tabs>
        <w:tab w:val="center" w:pos="4320"/>
        <w:tab w:val="right" w:pos="8640"/>
      </w:tabs>
    </w:pPr>
  </w:style>
  <w:style w:type="character" w:customStyle="1" w:styleId="HeaderChar">
    <w:name w:val="Header Char"/>
    <w:basedOn w:val="DefaultParagraphFont"/>
    <w:link w:val="Header"/>
    <w:uiPriority w:val="99"/>
    <w:rsid w:val="00D75BF9"/>
  </w:style>
  <w:style w:type="paragraph" w:styleId="Footer">
    <w:name w:val="footer"/>
    <w:basedOn w:val="Normal"/>
    <w:link w:val="FooterChar"/>
    <w:uiPriority w:val="99"/>
    <w:unhideWhenUsed/>
    <w:rsid w:val="00D75BF9"/>
    <w:pPr>
      <w:tabs>
        <w:tab w:val="center" w:pos="4320"/>
        <w:tab w:val="right" w:pos="8640"/>
      </w:tabs>
    </w:pPr>
  </w:style>
  <w:style w:type="character" w:customStyle="1" w:styleId="FooterChar">
    <w:name w:val="Footer Char"/>
    <w:basedOn w:val="DefaultParagraphFont"/>
    <w:link w:val="Footer"/>
    <w:uiPriority w:val="99"/>
    <w:rsid w:val="00D75B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459" Type="http://schemas.openxmlformats.org/officeDocument/2006/relationships/hyperlink" Target="http://www.westlaw.com/Find/Default.wl?rs=dfa1.0&amp;vr=2.0&amp;DB=506&amp;FindType=Y&amp;ReferencePositionType=S&amp;SerialNum=2002350044&amp;ReferencePosition=1015" TargetMode="External"/><Relationship Id="rId20" Type="http://schemas.openxmlformats.org/officeDocument/2006/relationships/hyperlink" Target="http://www.westlaw.com/KeyNumber/Default.wl?rs=dfa1.0&amp;vr=2.0&amp;CMD=KEY&amp;DocName=170BVIII%28E%29" TargetMode="External"/><Relationship Id="rId21" Type="http://schemas.openxmlformats.org/officeDocument/2006/relationships/hyperlink" Target="http://www.westlaw.com/KeyNumber/Default.wl?rs=dfa1.0&amp;vr=2.0&amp;CMD=KEY&amp;DocName=170Bk660" TargetMode="External"/><Relationship Id="rId22" Type="http://schemas.openxmlformats.org/officeDocument/2006/relationships/hyperlink" Target="http://www.westlaw.com/KeyNumber/Default.wl?rs=dfa1.0&amp;vr=2.0&amp;CMD=KEY&amp;DocName=170Bk660.1" TargetMode="External"/><Relationship Id="rId23" Type="http://schemas.openxmlformats.org/officeDocument/2006/relationships/hyperlink" Target="http://www.westlaw.com/Digest/Default.wl?rs=dfa1.0&amp;vr=2.0&amp;CMD=MCC&amp;DocName=170Bk660.1" TargetMode="External"/><Relationship Id="rId24" Type="http://schemas.openxmlformats.org/officeDocument/2006/relationships/hyperlink" Target="http://www.westlaw.com/Find/Default.wl?rs=dfa1.0&amp;vr=2.0&amp;DB=1000546&amp;DocName=28USCAS1292&amp;FindType=L&amp;ReferencePositionType=T&amp;ReferencePosition=SP_a83b000018c76" TargetMode="External"/><Relationship Id="rId25" Type="http://schemas.openxmlformats.org/officeDocument/2006/relationships/hyperlink" Target="http://www.westlaw.com/KeyNumber/Default.wl?rs=dfa1.0&amp;vr=2.0&amp;CMD=KEY&amp;DocName=170B" TargetMode="External"/><Relationship Id="rId26" Type="http://schemas.openxmlformats.org/officeDocument/2006/relationships/hyperlink" Target="http://www.westlaw.com/KeyNumber/Default.wl?rs=dfa1.0&amp;vr=2.0&amp;CMD=KEY&amp;DocName=170BVIII" TargetMode="External"/><Relationship Id="rId27" Type="http://schemas.openxmlformats.org/officeDocument/2006/relationships/hyperlink" Target="http://www.westlaw.com/KeyNumber/Default.wl?rs=dfa1.0&amp;vr=2.0&amp;CMD=KEY&amp;DocName=170BVIII%28E%29" TargetMode="External"/><Relationship Id="rId28" Type="http://schemas.openxmlformats.org/officeDocument/2006/relationships/hyperlink" Target="http://www.westlaw.com/KeyNumber/Default.wl?rs=dfa1.0&amp;vr=2.0&amp;CMD=KEY&amp;DocName=170Bk660" TargetMode="External"/><Relationship Id="rId29" Type="http://schemas.openxmlformats.org/officeDocument/2006/relationships/hyperlink" Target="http://www.westlaw.com/KeyNumber/Default.wl?rs=dfa1.0&amp;vr=2.0&amp;CMD=KEY&amp;DocName=170Bk660.5" TargetMode="External"/><Relationship Id="rId170" Type="http://schemas.openxmlformats.org/officeDocument/2006/relationships/hyperlink" Target="http://www.westlaw.com/Find/Default.wl?rs=dfa1.0&amp;vr=2.0&amp;DB=106&amp;FindType=Y&amp;SerialNum=1988176620" TargetMode="External"/><Relationship Id="rId171" Type="http://schemas.openxmlformats.org/officeDocument/2006/relationships/hyperlink" Target="http://www.westlaw.com/Find/Default.wl?rs=dfa1.0&amp;vr=2.0&amp;DB=106&amp;FindType=Y&amp;SerialNum=1988176620" TargetMode="External"/><Relationship Id="rId172" Type="http://schemas.openxmlformats.org/officeDocument/2006/relationships/hyperlink" Target="http://www.westlaw.com/Find/Default.wl?rs=dfa1.0&amp;vr=2.0&amp;DB=0000999&amp;FindType=Y&amp;SerialNum=1990024230" TargetMode="External"/><Relationship Id="rId173" Type="http://schemas.openxmlformats.org/officeDocument/2006/relationships/hyperlink" Target="http://www.westlaw.com/Find/Default.wl?rs=dfa1.0&amp;vr=2.0&amp;DB=0000999&amp;FindType=Y&amp;SerialNum=1990024230" TargetMode="External"/><Relationship Id="rId174" Type="http://schemas.openxmlformats.org/officeDocument/2006/relationships/hyperlink" Target="http://www.westlaw.com/Find/Default.wl?rs=dfa1.0&amp;vr=2.0&amp;DB=1000546&amp;DocName=28USCAS1292&amp;FindType=L&amp;ReferencePositionType=T&amp;ReferencePosition=SP_a83b000018c76" TargetMode="External"/><Relationship Id="rId175" Type="http://schemas.openxmlformats.org/officeDocument/2006/relationships/hyperlink" Target="http://www.westlaw.com/Find/Default.wl?rs=dfa1.0&amp;vr=2.0&amp;DB=506&amp;FindType=Y&amp;ReferencePositionType=S&amp;SerialNum=2015911122&amp;ReferencePosition=391" TargetMode="External"/><Relationship Id="rId176" Type="http://schemas.openxmlformats.org/officeDocument/2006/relationships/hyperlink" Target="http://www.westlaw.com/Find/Default.wl?rs=dfa1.0&amp;vr=2.0&amp;DB=506&amp;FindType=Y&amp;ReferencePositionType=S&amp;SerialNum=2015911122&amp;ReferencePosition=391" TargetMode="External"/><Relationship Id="rId177" Type="http://schemas.openxmlformats.org/officeDocument/2006/relationships/hyperlink" Target="http://www.westlaw.com/Find/Default.wl?rs=dfa1.0&amp;vr=2.0&amp;DB=1000546&amp;DocName=28USCAS1292&amp;FindType=L&amp;ReferencePositionType=T&amp;ReferencePosition=SP_a83b000018c76" TargetMode="External"/><Relationship Id="rId178" Type="http://schemas.openxmlformats.org/officeDocument/2006/relationships/hyperlink" Target="http://www.westlaw.com/Find/Default.wl?rs=dfa1.0&amp;vr=2.0&amp;DB=708&amp;FindType=Y&amp;SerialNum=1987079686" TargetMode="External"/><Relationship Id="rId179" Type="http://schemas.openxmlformats.org/officeDocument/2006/relationships/hyperlink" Target="http://www.westlaw.com/Find/Default.wl?rs=dfa1.0&amp;vr=2.0&amp;DB=708&amp;FindType=Y&amp;SerialNum=1987079686" TargetMode="External"/><Relationship Id="rId230" Type="http://schemas.openxmlformats.org/officeDocument/2006/relationships/hyperlink" Target="http://www.westlaw.com/Find/Default.wl?rs=dfa1.0&amp;vr=2.0&amp;DB=4637&amp;FindType=Y&amp;ReferencePositionType=S&amp;SerialNum=2001402281&amp;ReferencePosition=570" TargetMode="External"/><Relationship Id="rId231" Type="http://schemas.openxmlformats.org/officeDocument/2006/relationships/hyperlink" Target="http://www.westlaw.com/Find/Default.wl?rs=dfa1.0&amp;vr=2.0&amp;DB=1000546&amp;DocName=28USCAS1292&amp;FindType=L&amp;ReferencePositionType=T&amp;ReferencePosition=SP_a83b000018c76" TargetMode="External"/><Relationship Id="rId232" Type="http://schemas.openxmlformats.org/officeDocument/2006/relationships/hyperlink" Target="http://www.westlaw.com/Find/Default.wl?rs=dfa1.0&amp;vr=2.0&amp;DB=345&amp;FindType=Y&amp;ReferencePositionType=S&amp;SerialNum=1995172523&amp;ReferencePosition=1398" TargetMode="External"/><Relationship Id="rId233" Type="http://schemas.openxmlformats.org/officeDocument/2006/relationships/hyperlink" Target="http://www.westlaw.com/Find/Default.wl?rs=dfa1.0&amp;vr=2.0&amp;DB=345&amp;FindType=Y&amp;ReferencePositionType=S&amp;SerialNum=1995172523&amp;ReferencePosition=1398" TargetMode="External"/><Relationship Id="rId234" Type="http://schemas.openxmlformats.org/officeDocument/2006/relationships/hyperlink" Target="http://www.westlaw.com/Find/Default.wl?rs=dfa1.0&amp;vr=2.0&amp;DB=0102228&amp;FindType=Y&amp;SerialNum=0104501305" TargetMode="External"/><Relationship Id="rId235" Type="http://schemas.openxmlformats.org/officeDocument/2006/relationships/hyperlink" Target="http://www.westlaw.com/Find/Default.wl?rs=dfa1.0&amp;vr=2.0&amp;DB=0102228&amp;FindType=Y&amp;SerialNum=0104501305" TargetMode="External"/><Relationship Id="rId236" Type="http://schemas.openxmlformats.org/officeDocument/2006/relationships/hyperlink" Target="http://www.westlaw.com/Find/Default.wl?rs=dfa1.0&amp;vr=2.0&amp;DB=0102228&amp;FindType=Y&amp;SerialNum=0104501305" TargetMode="External"/><Relationship Id="rId237" Type="http://schemas.openxmlformats.org/officeDocument/2006/relationships/hyperlink" Target="http://www.westlaw.com/Find/Default.wl?rs=dfa1.0&amp;vr=2.0&amp;DB=506&amp;FindType=Y&amp;ReferencePositionType=S&amp;SerialNum=1996267478&amp;ReferencePosition=866" TargetMode="External"/><Relationship Id="rId238" Type="http://schemas.openxmlformats.org/officeDocument/2006/relationships/hyperlink" Target="http://www.westlaw.com/Find/Default.wl?rs=dfa1.0&amp;vr=2.0&amp;DB=506&amp;FindType=Y&amp;ReferencePositionType=S&amp;SerialNum=1996267478&amp;ReferencePosition=866" TargetMode="External"/><Relationship Id="rId239" Type="http://schemas.openxmlformats.org/officeDocument/2006/relationships/hyperlink" Target="http://www.westlaw.com/Find/Default.wl?rs=dfa1.0&amp;vr=2.0&amp;DB=350&amp;FindType=Y&amp;ReferencePositionType=S&amp;SerialNum=1974113303&amp;ReferencePosition=403" TargetMode="External"/><Relationship Id="rId460" Type="http://schemas.openxmlformats.org/officeDocument/2006/relationships/hyperlink" Target="http://www.westlaw.com/Find/Default.wl?rs=dfa1.0&amp;vr=2.0&amp;DB=1000546&amp;DocName=28USCAS1605&amp;FindType=L&amp;ReferencePositionType=T&amp;ReferencePosition=SP_36f10000408d4" TargetMode="External"/><Relationship Id="rId461" Type="http://schemas.openxmlformats.org/officeDocument/2006/relationships/hyperlink" Target="http://www.westlaw.com/Find/Default.wl?rs=dfa1.0&amp;vr=2.0&amp;DB=1000546&amp;DocName=28USCAS1605A&amp;FindType=L" TargetMode="External"/><Relationship Id="rId462" Type="http://schemas.openxmlformats.org/officeDocument/2006/relationships/header" Target="header1.xml"/><Relationship Id="rId463" Type="http://schemas.openxmlformats.org/officeDocument/2006/relationships/footer" Target="footer1.xml"/><Relationship Id="rId464" Type="http://schemas.openxmlformats.org/officeDocument/2006/relationships/fontTable" Target="fontTable.xml"/><Relationship Id="rId465" Type="http://schemas.openxmlformats.org/officeDocument/2006/relationships/theme" Target="theme/theme1.xml"/><Relationship Id="rId30" Type="http://schemas.openxmlformats.org/officeDocument/2006/relationships/hyperlink" Target="http://www.westlaw.com/Digest/Default.wl?rs=dfa1.0&amp;vr=2.0&amp;CMD=MCC&amp;DocName=170Bk660.5" TargetMode="External"/><Relationship Id="rId31" Type="http://schemas.openxmlformats.org/officeDocument/2006/relationships/hyperlink" Target="http://www.westlaw.com/Find/Default.wl?rs=dfa1.0&amp;vr=2.0&amp;DB=1000546&amp;DocName=18USCAS2334&amp;FindType=L&amp;ReferencePositionType=T&amp;ReferencePosition=SP_5ba1000067d06" TargetMode="External"/><Relationship Id="rId32" Type="http://schemas.openxmlformats.org/officeDocument/2006/relationships/hyperlink" Target="http://www.westlaw.com/Find/Default.wl?rs=dfa1.0&amp;vr=2.0&amp;DB=1000546&amp;DocName=28USCAS1292&amp;FindType=L&amp;ReferencePositionType=T&amp;ReferencePosition=SP_a83b000018c76" TargetMode="External"/><Relationship Id="rId33" Type="http://schemas.openxmlformats.org/officeDocument/2006/relationships/hyperlink" Target="http://www.westlaw.com/KeyNumber/Default.wl?rs=dfa1.0&amp;vr=2.0&amp;CMD=KEY&amp;DocName=92" TargetMode="External"/><Relationship Id="rId34" Type="http://schemas.openxmlformats.org/officeDocument/2006/relationships/hyperlink" Target="http://www.westlaw.com/KeyNumber/Default.wl?rs=dfa1.0&amp;vr=2.0&amp;CMD=KEY&amp;DocName=92XXVII" TargetMode="External"/><Relationship Id="rId35" Type="http://schemas.openxmlformats.org/officeDocument/2006/relationships/hyperlink" Target="http://www.westlaw.com/KeyNumber/Default.wl?rs=dfa1.0&amp;vr=2.0&amp;CMD=KEY&amp;DocName=92XXVII%28H%29" TargetMode="External"/><Relationship Id="rId36" Type="http://schemas.openxmlformats.org/officeDocument/2006/relationships/hyperlink" Target="http://www.westlaw.com/KeyNumber/Default.wl?rs=dfa1.0&amp;vr=2.0&amp;CMD=KEY&amp;DocName=92XXVII%28H%294" TargetMode="External"/><Relationship Id="rId37" Type="http://schemas.openxmlformats.org/officeDocument/2006/relationships/hyperlink" Target="http://www.westlaw.com/KeyNumber/Default.wl?rs=dfa1.0&amp;vr=2.0&amp;CMD=KEY&amp;DocName=92k4560" TargetMode="External"/><Relationship Id="rId38" Type="http://schemas.openxmlformats.org/officeDocument/2006/relationships/hyperlink" Target="http://www.westlaw.com/Digest/Default.wl?rs=dfa1.0&amp;vr=2.0&amp;CMD=MCC&amp;DocName=92k4560" TargetMode="External"/><Relationship Id="rId39" Type="http://schemas.openxmlformats.org/officeDocument/2006/relationships/hyperlink" Target="http://www.westlaw.com/Find/Default.wl?rs=dfa1.0&amp;vr=2.0&amp;DB=1000546&amp;DocName=USCOAMENDV&amp;FindType=L" TargetMode="External"/><Relationship Id="rId180" Type="http://schemas.openxmlformats.org/officeDocument/2006/relationships/hyperlink" Target="http://www.westlaw.com/Find/Default.wl?rs=dfa1.0&amp;vr=2.0&amp;DB=1000546&amp;DocName=28USCAS1292&amp;FindType=L&amp;ReferencePositionType=T&amp;ReferencePosition=SP_a83b000018c76" TargetMode="External"/><Relationship Id="rId181" Type="http://schemas.openxmlformats.org/officeDocument/2006/relationships/hyperlink" Target="http://www.westlaw.com/Find/Default.wl?rs=dfa1.0&amp;vr=2.0&amp;DB=1000546&amp;DocName=18USCAS2334&amp;FindType=L&amp;ReferencePositionType=T&amp;ReferencePosition=SP_17df000040924" TargetMode="External"/><Relationship Id="rId182" Type="http://schemas.openxmlformats.org/officeDocument/2006/relationships/hyperlink" Target="http://www.westlaw.com/Find/Default.wl?rs=dfa1.0&amp;vr=2.0&amp;DB=1000546&amp;DocName=18USCAS2331&amp;FindType=L&amp;ReferencePositionType=T&amp;ReferencePosition=SP_d5a000005aa25" TargetMode="External"/><Relationship Id="rId183" Type="http://schemas.openxmlformats.org/officeDocument/2006/relationships/hyperlink" Target="http://www.westlaw.com/Find/Default.wl?rs=dfa1.0&amp;vr=2.0&amp;DB=1000546&amp;DocName=18USCAS2339B&amp;FindType=L" TargetMode="External"/><Relationship Id="rId184" Type="http://schemas.openxmlformats.org/officeDocument/2006/relationships/hyperlink" Target="http://www.westlaw.com/Find/Default.wl?rs=dfa1.0&amp;vr=2.0&amp;DB=1000546&amp;DocName=18USCAS2339C&amp;FindType=L" TargetMode="External"/><Relationship Id="rId185" Type="http://schemas.openxmlformats.org/officeDocument/2006/relationships/hyperlink" Target="http://www.westlaw.com/Find/Default.wl?rs=dfa1.0&amp;vr=2.0&amp;DB=1000546&amp;DocName=28USCAS1292&amp;FindType=L&amp;ReferencePositionType=T&amp;ReferencePosition=SP_a83b000018c76" TargetMode="External"/><Relationship Id="rId186" Type="http://schemas.openxmlformats.org/officeDocument/2006/relationships/hyperlink" Target="http://www.westlaw.com/Find/Default.wl?rs=dfa1.0&amp;vr=2.0&amp;DB=4637&amp;FindType=Y&amp;ReferencePositionType=S&amp;SerialNum=2003046100&amp;ReferencePosition=599" TargetMode="External"/><Relationship Id="rId187" Type="http://schemas.openxmlformats.org/officeDocument/2006/relationships/hyperlink" Target="http://www.westlaw.com/Find/Default.wl?rs=dfa1.0&amp;vr=2.0&amp;DB=4637&amp;FindType=Y&amp;ReferencePositionType=S&amp;SerialNum=2003046100&amp;ReferencePosition=599" TargetMode="External"/><Relationship Id="rId188" Type="http://schemas.openxmlformats.org/officeDocument/2006/relationships/hyperlink" Target="http://www.westlaw.com/Find/Default.wl?rs=dfa1.0&amp;vr=2.0&amp;DB=1000546&amp;DocName=28USCAS1292&amp;FindType=L&amp;ReferencePositionType=T&amp;ReferencePosition=SP_a83b000018c76" TargetMode="External"/><Relationship Id="rId189" Type="http://schemas.openxmlformats.org/officeDocument/2006/relationships/hyperlink" Target="http://www.westlaw.com/Find/Default.wl?rs=dfa1.0&amp;vr=2.0&amp;DB=4637&amp;FindType=Y&amp;ReferencePositionType=S&amp;SerialNum=2011154434&amp;ReferencePosition=144" TargetMode="External"/><Relationship Id="rId240" Type="http://schemas.openxmlformats.org/officeDocument/2006/relationships/hyperlink" Target="http://www.westlaw.com/Find/Default.wl?rs=dfa1.0&amp;vr=2.0&amp;DB=350&amp;FindType=Y&amp;ReferencePositionType=S&amp;SerialNum=1974113303&amp;ReferencePosition=403" TargetMode="External"/><Relationship Id="rId241" Type="http://schemas.openxmlformats.org/officeDocument/2006/relationships/hyperlink" Target="http://www.westlaw.com/Find/Default.wl?rs=dfa1.0&amp;vr=2.0&amp;DB=4637&amp;FindType=Y&amp;ReferencePositionType=S&amp;SerialNum=2019898265&amp;ReferencePosition=421" TargetMode="External"/><Relationship Id="rId242" Type="http://schemas.openxmlformats.org/officeDocument/2006/relationships/hyperlink" Target="http://www.westlaw.com/Find/Default.wl?rs=dfa1.0&amp;vr=2.0&amp;DB=4637&amp;FindType=Y&amp;ReferencePositionType=S&amp;SerialNum=2019898265&amp;ReferencePosition=421" TargetMode="External"/><Relationship Id="rId243" Type="http://schemas.openxmlformats.org/officeDocument/2006/relationships/hyperlink" Target="http://www.westlaw.com/Find/Default.wl?rs=dfa1.0&amp;vr=2.0&amp;FindType=Y&amp;SerialNum=2019898265" TargetMode="External"/><Relationship Id="rId244" Type="http://schemas.openxmlformats.org/officeDocument/2006/relationships/hyperlink" Target="http://www.westlaw.com/Find/Default.wl?rs=dfa1.0&amp;vr=2.0&amp;FindType=Y&amp;SerialNum=2019898265" TargetMode="External"/><Relationship Id="rId245" Type="http://schemas.openxmlformats.org/officeDocument/2006/relationships/hyperlink" Target="http://www.westlaw.com/Find/Default.wl?rs=dfa1.0&amp;vr=2.0&amp;DB=4637&amp;FindType=Y&amp;ReferencePositionType=S&amp;SerialNum=2018545811&amp;ReferencePosition=245" TargetMode="External"/><Relationship Id="rId246" Type="http://schemas.openxmlformats.org/officeDocument/2006/relationships/hyperlink" Target="http://www.westlaw.com/Find/Default.wl?rs=dfa1.0&amp;vr=2.0&amp;DB=4637&amp;FindType=Y&amp;ReferencePositionType=S&amp;SerialNum=2018545811&amp;ReferencePosition=245" TargetMode="External"/><Relationship Id="rId247" Type="http://schemas.openxmlformats.org/officeDocument/2006/relationships/hyperlink" Target="http://www.westlaw.com/Find/Default.wl?rs=dfa1.0&amp;vr=2.0&amp;DB=1000546&amp;DocName=18USCAS2333&amp;FindType=L" TargetMode="External"/><Relationship Id="rId248" Type="http://schemas.openxmlformats.org/officeDocument/2006/relationships/hyperlink" Target="http://www.westlaw.com/Find/Default.wl?rs=dfa1.0&amp;vr=2.0&amp;DB=506&amp;FindType=Y&amp;ReferencePositionType=S&amp;SerialNum=2002350044&amp;ReferencePosition=1009" TargetMode="External"/><Relationship Id="rId249" Type="http://schemas.openxmlformats.org/officeDocument/2006/relationships/hyperlink" Target="http://www.westlaw.com/Find/Default.wl?rs=dfa1.0&amp;vr=2.0&amp;DB=506&amp;FindType=Y&amp;ReferencePositionType=S&amp;SerialNum=2002350044&amp;ReferencePosition=1009" TargetMode="External"/><Relationship Id="rId300" Type="http://schemas.openxmlformats.org/officeDocument/2006/relationships/hyperlink" Target="http://www.westlaw.com/Find/Default.wl?rs=dfa1.0&amp;vr=2.0&amp;DB=3084&amp;FindType=Y&amp;ReferencePositionType=S&amp;SerialNum=0102140385&amp;ReferencePosition=1223" TargetMode="External"/><Relationship Id="rId301" Type="http://schemas.openxmlformats.org/officeDocument/2006/relationships/hyperlink" Target="http://www.westlaw.com/Find/Default.wl?rs=dfa1.0&amp;vr=2.0&amp;DB=3084&amp;FindType=Y&amp;ReferencePositionType=S&amp;SerialNum=0102140385&amp;ReferencePosition=1223" TargetMode="External"/><Relationship Id="rId302" Type="http://schemas.openxmlformats.org/officeDocument/2006/relationships/hyperlink" Target="http://www.westlaw.com/Find/Default.wl?rs=dfa1.0&amp;vr=2.0&amp;DB=4637&amp;FindType=Y&amp;ReferencePositionType=S&amp;SerialNum=2019898265&amp;ReferencePosition=431" TargetMode="External"/><Relationship Id="rId303" Type="http://schemas.openxmlformats.org/officeDocument/2006/relationships/hyperlink" Target="http://www.westlaw.com/Find/Default.wl?rs=dfa1.0&amp;vr=2.0&amp;DB=4637&amp;FindType=Y&amp;ReferencePositionType=S&amp;SerialNum=2019898265&amp;ReferencePosition=431" TargetMode="External"/><Relationship Id="rId304" Type="http://schemas.openxmlformats.org/officeDocument/2006/relationships/hyperlink" Target="http://www.westlaw.com/Find/Default.wl?rs=dfa1.0&amp;vr=2.0&amp;FindType=Y&amp;SerialNum=2019898265" TargetMode="External"/><Relationship Id="rId305" Type="http://schemas.openxmlformats.org/officeDocument/2006/relationships/hyperlink" Target="http://www.westlaw.com/Find/Default.wl?rs=dfa1.0&amp;vr=2.0&amp;FindType=Y&amp;SerialNum=2019898265" TargetMode="External"/><Relationship Id="rId306" Type="http://schemas.openxmlformats.org/officeDocument/2006/relationships/hyperlink" Target="http://www.westlaw.com/Find/Default.wl?rs=dfa1.0&amp;vr=2.0&amp;DB=1077005&amp;DocName=UU%28I197F8ECB45-7D49F884ADE-46EC6317A0A%29&amp;FindType=l" TargetMode="External"/><Relationship Id="rId307" Type="http://schemas.openxmlformats.org/officeDocument/2006/relationships/hyperlink" Target="http://www.westlaw.com/Find/Default.wl?rs=dfa1.0&amp;vr=2.0&amp;DB=1000546&amp;DocName=18USCAS2339B&amp;FindType=L" TargetMode="External"/><Relationship Id="rId308" Type="http://schemas.openxmlformats.org/officeDocument/2006/relationships/hyperlink" Target="http://www.westlaw.com/Find/Default.wl?rs=dfa1.0&amp;vr=2.0&amp;FindType=Y&amp;SerialNum=2009774475" TargetMode="External"/><Relationship Id="rId309" Type="http://schemas.openxmlformats.org/officeDocument/2006/relationships/hyperlink" Target="http://www.westlaw.com/Find/Default.wl?rs=dfa1.0&amp;vr=2.0&amp;DB=506&amp;FindType=Y&amp;ReferencePositionType=S&amp;SerialNum=2017570303&amp;ReferencePosition=693" TargetMode="External"/><Relationship Id="rId40" Type="http://schemas.openxmlformats.org/officeDocument/2006/relationships/hyperlink" Target="http://www.westlaw.com/KeyNumber/Default.wl?rs=dfa1.0&amp;vr=2.0&amp;CMD=KEY&amp;DocName=170B" TargetMode="External"/><Relationship Id="rId41" Type="http://schemas.openxmlformats.org/officeDocument/2006/relationships/hyperlink" Target="http://www.westlaw.com/KeyNumber/Default.wl?rs=dfa1.0&amp;vr=2.0&amp;CMD=KEY&amp;DocName=170BVIII" TargetMode="External"/><Relationship Id="rId42" Type="http://schemas.openxmlformats.org/officeDocument/2006/relationships/hyperlink" Target="http://www.westlaw.com/KeyNumber/Default.wl?rs=dfa1.0&amp;vr=2.0&amp;CMD=KEY&amp;DocName=170BVIII%28E%29" TargetMode="External"/><Relationship Id="rId43" Type="http://schemas.openxmlformats.org/officeDocument/2006/relationships/hyperlink" Target="http://www.westlaw.com/KeyNumber/Default.wl?rs=dfa1.0&amp;vr=2.0&amp;CMD=KEY&amp;DocName=170Bk660" TargetMode="External"/><Relationship Id="rId44" Type="http://schemas.openxmlformats.org/officeDocument/2006/relationships/hyperlink" Target="http://www.westlaw.com/KeyNumber/Default.wl?rs=dfa1.0&amp;vr=2.0&amp;CMD=KEY&amp;DocName=170Bk660.5" TargetMode="External"/><Relationship Id="rId45" Type="http://schemas.openxmlformats.org/officeDocument/2006/relationships/hyperlink" Target="http://www.westlaw.com/Digest/Default.wl?rs=dfa1.0&amp;vr=2.0&amp;CMD=MCC&amp;DocName=170Bk660.5" TargetMode="External"/><Relationship Id="rId46" Type="http://schemas.openxmlformats.org/officeDocument/2006/relationships/hyperlink" Target="http://www.westlaw.com/Find/Default.wl?rs=dfa1.0&amp;vr=2.0&amp;DB=1000546&amp;DocName=18USCAS2333&amp;FindType=L&amp;ReferencePositionType=T&amp;ReferencePosition=SP_8b3b0000958a4" TargetMode="External"/><Relationship Id="rId47" Type="http://schemas.openxmlformats.org/officeDocument/2006/relationships/hyperlink" Target="http://www.westlaw.com/Find/Default.wl?rs=dfa1.0&amp;vr=2.0&amp;DB=1000546&amp;DocName=18USCAS2339B&amp;FindType=L" TargetMode="External"/><Relationship Id="rId48" Type="http://schemas.openxmlformats.org/officeDocument/2006/relationships/hyperlink" Target="http://www.westlaw.com/Find/Default.wl?rs=dfa1.0&amp;vr=2.0&amp;DB=1000546&amp;DocName=28USCAS1292&amp;FindType=L&amp;ReferencePositionType=T&amp;ReferencePosition=SP_a83b000018c76" TargetMode="External"/><Relationship Id="rId49" Type="http://schemas.openxmlformats.org/officeDocument/2006/relationships/hyperlink" Target="http://www.westlaw.com/KeyNumber/Default.wl?rs=dfa1.0&amp;vr=2.0&amp;CMD=KEY&amp;DocName=157" TargetMode="Externa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www.westlaw.com/Find/Default.wl?rs=dfa1.0&amp;vr=2.0&amp;DB=PROFILER-WLD&amp;DocName=0138102401&amp;FindType=h" TargetMode="External"/><Relationship Id="rId8" Type="http://schemas.openxmlformats.org/officeDocument/2006/relationships/hyperlink" Target="http://www.westlaw.com/Find/Default.wl?rs=dfa1.0&amp;vr=2.0&amp;DB=4637&amp;FindType=Y&amp;SerialNum=2019898265" TargetMode="External"/><Relationship Id="rId9" Type="http://schemas.openxmlformats.org/officeDocument/2006/relationships/hyperlink" Target="http://www.westlaw.com/Find/Default.wl?rs=dfa1.0&amp;vr=2.0&amp;DB=PROFILER-WLD&amp;DocName=0198307001&amp;FindType=h" TargetMode="External"/><Relationship Id="rId190" Type="http://schemas.openxmlformats.org/officeDocument/2006/relationships/hyperlink" Target="http://www.westlaw.com/Find/Default.wl?rs=dfa1.0&amp;vr=2.0&amp;DB=4637&amp;FindType=Y&amp;ReferencePositionType=S&amp;SerialNum=2011154434&amp;ReferencePosition=144" TargetMode="External"/><Relationship Id="rId191" Type="http://schemas.openxmlformats.org/officeDocument/2006/relationships/hyperlink" Target="http://www.westlaw.com/Find/Default.wl?rs=dfa1.0&amp;vr=2.0&amp;DB=0000999&amp;FindType=Y&amp;SerialNum=2014770152" TargetMode="External"/><Relationship Id="rId192" Type="http://schemas.openxmlformats.org/officeDocument/2006/relationships/hyperlink" Target="http://www.westlaw.com/Find/Default.wl?rs=dfa1.0&amp;vr=2.0&amp;DB=0000999&amp;FindType=Y&amp;SerialNum=2014770152" TargetMode="External"/><Relationship Id="rId193" Type="http://schemas.openxmlformats.org/officeDocument/2006/relationships/hyperlink" Target="http://www.westlaw.com/Find/Default.wl?rs=dfa1.0&amp;vr=2.0&amp;DB=350&amp;FindType=Y&amp;ReferencePositionType=S&amp;SerialNum=1990173866&amp;ReferencePosition=25" TargetMode="External"/><Relationship Id="rId194" Type="http://schemas.openxmlformats.org/officeDocument/2006/relationships/hyperlink" Target="http://www.westlaw.com/Find/Default.wl?rs=dfa1.0&amp;vr=2.0&amp;DB=350&amp;FindType=Y&amp;ReferencePositionType=S&amp;SerialNum=1990173866&amp;ReferencePosition=25" TargetMode="External"/><Relationship Id="rId195" Type="http://schemas.openxmlformats.org/officeDocument/2006/relationships/hyperlink" Target="http://www.westlaw.com/Find/Default.wl?rs=dfa1.0&amp;vr=2.0&amp;DB=0000999&amp;FindType=Y&amp;SerialNum=2020901703" TargetMode="External"/><Relationship Id="rId196" Type="http://schemas.openxmlformats.org/officeDocument/2006/relationships/hyperlink" Target="http://www.westlaw.com/Find/Default.wl?rs=dfa1.0&amp;vr=2.0&amp;DB=0000999&amp;FindType=Y&amp;SerialNum=2020901703" TargetMode="External"/><Relationship Id="rId197" Type="http://schemas.openxmlformats.org/officeDocument/2006/relationships/hyperlink" Target="http://www.westlaw.com/Find/Default.wl?rs=dfa1.0&amp;vr=2.0&amp;DB=4637&amp;FindType=Y&amp;ReferencePositionType=S&amp;SerialNum=2011888526&amp;ReferencePosition=314" TargetMode="External"/><Relationship Id="rId198" Type="http://schemas.openxmlformats.org/officeDocument/2006/relationships/hyperlink" Target="http://www.westlaw.com/Find/Default.wl?rs=dfa1.0&amp;vr=2.0&amp;DB=4637&amp;FindType=Y&amp;ReferencePositionType=S&amp;SerialNum=2011888526&amp;ReferencePosition=314" TargetMode="External"/><Relationship Id="rId199" Type="http://schemas.openxmlformats.org/officeDocument/2006/relationships/hyperlink" Target="http://www.westlaw.com/Find/Default.wl?rs=dfa1.0&amp;vr=2.0&amp;DB=0000999&amp;FindType=Y&amp;SerialNum=2011959275" TargetMode="External"/><Relationship Id="rId250" Type="http://schemas.openxmlformats.org/officeDocument/2006/relationships/hyperlink" Target="http://www.westlaw.com/Find/Default.wl?rs=dfa1.0&amp;vr=2.0&amp;DB=506&amp;FindType=Y&amp;ReferencePositionType=S&amp;SerialNum=2002350044&amp;ReferencePosition=1009" TargetMode="External"/><Relationship Id="rId251" Type="http://schemas.openxmlformats.org/officeDocument/2006/relationships/hyperlink" Target="http://www.westlaw.com/Find/Default.wl?rs=dfa1.0&amp;vr=2.0&amp;DB=506&amp;FindType=Y&amp;ReferencePositionType=S&amp;SerialNum=2002350044&amp;ReferencePosition=1009" TargetMode="External"/><Relationship Id="rId252" Type="http://schemas.openxmlformats.org/officeDocument/2006/relationships/hyperlink" Target="http://www.westlaw.com/Find/Default.wl?rs=dfa1.0&amp;vr=2.0&amp;FindType=Y&amp;SerialNum=1981151372" TargetMode="External"/><Relationship Id="rId253" Type="http://schemas.openxmlformats.org/officeDocument/2006/relationships/hyperlink" Target="http://www.westlaw.com/Find/Default.wl?rs=dfa1.0&amp;vr=2.0&amp;DB=708&amp;FindType=Y&amp;ReferencePositionType=S&amp;SerialNum=1981151372&amp;ReferencePosition=262" TargetMode="External"/><Relationship Id="rId254" Type="http://schemas.openxmlformats.org/officeDocument/2006/relationships/hyperlink" Target="http://www.westlaw.com/Find/Default.wl?rs=dfa1.0&amp;vr=2.0&amp;DB=1000546&amp;DocName=18USCAS2334&amp;FindType=L&amp;ReferencePositionType=T&amp;ReferencePosition=SP_17df000040924" TargetMode="External"/><Relationship Id="rId255" Type="http://schemas.openxmlformats.org/officeDocument/2006/relationships/hyperlink" Target="http://www.westlaw.com/Find/Default.wl?rs=dfa1.0&amp;vr=2.0&amp;DB=1000546&amp;DocName=18USCAS2334&amp;FindType=L&amp;ReferencePositionType=T&amp;ReferencePosition=SP_17df000040924" TargetMode="External"/><Relationship Id="rId256" Type="http://schemas.openxmlformats.org/officeDocument/2006/relationships/hyperlink" Target="http://www.westlaw.com/Find/Default.wl?rs=dfa1.0&amp;vr=2.0&amp;DB=4637&amp;FindType=Y&amp;SerialNum=2009642178" TargetMode="External"/><Relationship Id="rId257" Type="http://schemas.openxmlformats.org/officeDocument/2006/relationships/hyperlink" Target="http://www.westlaw.com/Find/Default.wl?rs=dfa1.0&amp;vr=2.0&amp;DB=4637&amp;FindType=Y&amp;SerialNum=2009642178" TargetMode="External"/><Relationship Id="rId258" Type="http://schemas.openxmlformats.org/officeDocument/2006/relationships/hyperlink" Target="http://www.westlaw.com/Find/Default.wl?rs=dfa1.0&amp;vr=2.0&amp;DB=4637&amp;FindType=Y&amp;SerialNum=2008451551" TargetMode="External"/><Relationship Id="rId259" Type="http://schemas.openxmlformats.org/officeDocument/2006/relationships/hyperlink" Target="http://www.westlaw.com/Find/Default.wl?rs=dfa1.0&amp;vr=2.0&amp;DB=4637&amp;FindType=Y&amp;SerialNum=2008451551" TargetMode="External"/><Relationship Id="rId310" Type="http://schemas.openxmlformats.org/officeDocument/2006/relationships/hyperlink" Target="http://www.westlaw.com/Find/Default.wl?rs=dfa1.0&amp;vr=2.0&amp;DB=506&amp;FindType=Y&amp;ReferencePositionType=S&amp;SerialNum=2017570303&amp;ReferencePosition=693" TargetMode="External"/><Relationship Id="rId311" Type="http://schemas.openxmlformats.org/officeDocument/2006/relationships/hyperlink" Target="http://www.westlaw.com/Find/Default.wl?rs=dfa1.0&amp;vr=2.0&amp;DB=506&amp;FindType=Y&amp;ReferencePositionType=S&amp;SerialNum=2017570303&amp;ReferencePosition=693" TargetMode="External"/><Relationship Id="rId312" Type="http://schemas.openxmlformats.org/officeDocument/2006/relationships/hyperlink" Target="http://www.westlaw.com/Find/Default.wl?rs=dfa1.0&amp;vr=2.0&amp;DB=506&amp;FindType=Y&amp;ReferencePositionType=S&amp;SerialNum=2017570303&amp;ReferencePosition=693" TargetMode="External"/><Relationship Id="rId313" Type="http://schemas.openxmlformats.org/officeDocument/2006/relationships/hyperlink" Target="http://www.westlaw.com/Find/Default.wl?rs=dfa1.0&amp;vr=2.0&amp;DB=4637&amp;FindType=Y&amp;ReferencePositionType=S&amp;SerialNum=2009774475&amp;ReferencePosition=90" TargetMode="External"/><Relationship Id="rId314" Type="http://schemas.openxmlformats.org/officeDocument/2006/relationships/hyperlink" Target="http://www.westlaw.com/Find/Default.wl?rs=dfa1.0&amp;vr=2.0&amp;DB=4637&amp;FindType=Y&amp;ReferencePositionType=S&amp;SerialNum=2017266983&amp;ReferencePosition=494" TargetMode="External"/><Relationship Id="rId315" Type="http://schemas.openxmlformats.org/officeDocument/2006/relationships/hyperlink" Target="http://www.westlaw.com/Find/Default.wl?rs=dfa1.0&amp;vr=2.0&amp;DB=4637&amp;FindType=Y&amp;ReferencePositionType=S&amp;SerialNum=2017266983&amp;ReferencePosition=494" TargetMode="External"/><Relationship Id="rId316" Type="http://schemas.openxmlformats.org/officeDocument/2006/relationships/hyperlink" Target="http://www.westlaw.com/Find/Default.wl?rs=dfa1.0&amp;vr=2.0&amp;FindType=Y&amp;SerialNum=2017266983" TargetMode="External"/><Relationship Id="rId317" Type="http://schemas.openxmlformats.org/officeDocument/2006/relationships/hyperlink" Target="http://www.westlaw.com/Find/Default.wl?rs=dfa1.0&amp;vr=2.0&amp;DB=506&amp;FindType=Y&amp;ReferencePositionType=S&amp;SerialNum=2003268981&amp;ReferencePosition=106" TargetMode="External"/><Relationship Id="rId318" Type="http://schemas.openxmlformats.org/officeDocument/2006/relationships/hyperlink" Target="http://www.westlaw.com/Find/Default.wl?rs=dfa1.0&amp;vr=2.0&amp;DB=506&amp;FindType=Y&amp;ReferencePositionType=S&amp;SerialNum=2003268981&amp;ReferencePosition=106" TargetMode="External"/><Relationship Id="rId319" Type="http://schemas.openxmlformats.org/officeDocument/2006/relationships/hyperlink" Target="http://www.westlaw.com/Find/Default.wl?rs=dfa1.0&amp;vr=2.0&amp;DB=350&amp;FindType=Y&amp;ReferencePositionType=S&amp;SerialNum=1990081473&amp;ReferencePosition=249" TargetMode="External"/><Relationship Id="rId50" Type="http://schemas.openxmlformats.org/officeDocument/2006/relationships/hyperlink" Target="http://www.westlaw.com/KeyNumber/Default.wl?rs=dfa1.0&amp;vr=2.0&amp;CMD=KEY&amp;DocName=157I" TargetMode="External"/><Relationship Id="rId51" Type="http://schemas.openxmlformats.org/officeDocument/2006/relationships/hyperlink" Target="http://www.westlaw.com/KeyNumber/Default.wl?rs=dfa1.0&amp;vr=2.0&amp;CMD=KEY&amp;DocName=157k12" TargetMode="External"/><Relationship Id="rId52" Type="http://schemas.openxmlformats.org/officeDocument/2006/relationships/hyperlink" Target="http://www.westlaw.com/Digest/Default.wl?rs=dfa1.0&amp;vr=2.0&amp;CMD=MCC&amp;DocName=157k12" TargetMode="External"/><Relationship Id="rId53" Type="http://schemas.openxmlformats.org/officeDocument/2006/relationships/hyperlink" Target="http://www.westlaw.com/KeyNumber/Default.wl?rs=dfa1.0&amp;vr=2.0&amp;CMD=KEY&amp;DocName=170B" TargetMode="External"/><Relationship Id="rId54" Type="http://schemas.openxmlformats.org/officeDocument/2006/relationships/hyperlink" Target="http://www.westlaw.com/KeyNumber/Default.wl?rs=dfa1.0&amp;vr=2.0&amp;CMD=KEY&amp;DocName=170BVIII" TargetMode="External"/><Relationship Id="rId55" Type="http://schemas.openxmlformats.org/officeDocument/2006/relationships/hyperlink" Target="http://www.westlaw.com/KeyNumber/Default.wl?rs=dfa1.0&amp;vr=2.0&amp;CMD=KEY&amp;DocName=170BVIII%28E%29" TargetMode="External"/><Relationship Id="rId56" Type="http://schemas.openxmlformats.org/officeDocument/2006/relationships/hyperlink" Target="http://www.westlaw.com/KeyNumber/Default.wl?rs=dfa1.0&amp;vr=2.0&amp;CMD=KEY&amp;DocName=170Bk660" TargetMode="External"/><Relationship Id="rId57" Type="http://schemas.openxmlformats.org/officeDocument/2006/relationships/hyperlink" Target="http://www.westlaw.com/KeyNumber/Default.wl?rs=dfa1.0&amp;vr=2.0&amp;CMD=KEY&amp;DocName=170Bk660.5" TargetMode="External"/><Relationship Id="rId58" Type="http://schemas.openxmlformats.org/officeDocument/2006/relationships/hyperlink" Target="http://www.westlaw.com/Digest/Default.wl?rs=dfa1.0&amp;vr=2.0&amp;CMD=MCC&amp;DocName=170Bk660.5" TargetMode="External"/><Relationship Id="rId59" Type="http://schemas.openxmlformats.org/officeDocument/2006/relationships/hyperlink" Target="http://www.westlaw.com/Find/Default.wl?rs=dfa1.0&amp;vr=2.0&amp;DB=1000546&amp;DocName=18USCAS2331&amp;FindType=L&amp;ReferencePositionType=T&amp;ReferencePosition=SP_f1c50000821b0" TargetMode="External"/><Relationship Id="rId260" Type="http://schemas.openxmlformats.org/officeDocument/2006/relationships/hyperlink" Target="http://www.westlaw.com/Find/Default.wl?rs=dfa1.0&amp;vr=2.0&amp;DB=4637&amp;FindType=Y&amp;SerialNum=2004092309" TargetMode="External"/><Relationship Id="rId261" Type="http://schemas.openxmlformats.org/officeDocument/2006/relationships/hyperlink" Target="http://www.westlaw.com/Find/Default.wl?rs=dfa1.0&amp;vr=2.0&amp;DB=4637&amp;FindType=Y&amp;SerialNum=2004092309" TargetMode="External"/><Relationship Id="rId262" Type="http://schemas.openxmlformats.org/officeDocument/2006/relationships/hyperlink" Target="http://www.westlaw.com/Find/Default.wl?rs=dfa1.0&amp;vr=2.0&amp;DB=506&amp;FindType=Y&amp;ReferencePositionType=S&amp;SerialNum=2003268981&amp;ReferencePosition=111" TargetMode="External"/><Relationship Id="rId263" Type="http://schemas.openxmlformats.org/officeDocument/2006/relationships/hyperlink" Target="http://www.westlaw.com/Find/Default.wl?rs=dfa1.0&amp;vr=2.0&amp;DB=506&amp;FindType=Y&amp;ReferencePositionType=S&amp;SerialNum=2003268981&amp;ReferencePosition=111" TargetMode="External"/><Relationship Id="rId264" Type="http://schemas.openxmlformats.org/officeDocument/2006/relationships/hyperlink" Target="http://www.westlaw.com/Find/Default.wl?rs=dfa1.0&amp;vr=2.0&amp;DB=708&amp;FindType=Y&amp;ReferencePositionType=S&amp;SerialNum=1984119960&amp;ReferencePosition=1872" TargetMode="External"/><Relationship Id="rId265" Type="http://schemas.openxmlformats.org/officeDocument/2006/relationships/hyperlink" Target="http://www.westlaw.com/Find/Default.wl?rs=dfa1.0&amp;vr=2.0&amp;DB=708&amp;FindType=Y&amp;ReferencePositionType=S&amp;SerialNum=1984119960&amp;ReferencePosition=1872" TargetMode="External"/><Relationship Id="rId266" Type="http://schemas.openxmlformats.org/officeDocument/2006/relationships/hyperlink" Target="http://www.westlaw.com/Find/Default.wl?rs=dfa1.0&amp;vr=2.0&amp;DB=506&amp;FindType=Y&amp;SerialNum=2019893543" TargetMode="External"/><Relationship Id="rId267" Type="http://schemas.openxmlformats.org/officeDocument/2006/relationships/hyperlink" Target="http://www.westlaw.com/Find/Default.wl?rs=dfa1.0&amp;vr=2.0&amp;DB=506&amp;FindType=Y&amp;SerialNum=2019893543" TargetMode="External"/><Relationship Id="rId268" Type="http://schemas.openxmlformats.org/officeDocument/2006/relationships/hyperlink" Target="http://www.westlaw.com/Find/Default.wl?rs=dfa1.0&amp;vr=2.0&amp;DB=708&amp;FindType=Y&amp;ReferencePositionType=S&amp;SerialNum=1927124450&amp;ReferencePosition=594" TargetMode="External"/><Relationship Id="rId269" Type="http://schemas.openxmlformats.org/officeDocument/2006/relationships/hyperlink" Target="http://www.westlaw.com/Find/Default.wl?rs=dfa1.0&amp;vr=2.0&amp;DB=708&amp;FindType=Y&amp;ReferencePositionType=S&amp;SerialNum=1927124450&amp;ReferencePosition=594" TargetMode="External"/><Relationship Id="rId320" Type="http://schemas.openxmlformats.org/officeDocument/2006/relationships/hyperlink" Target="http://www.westlaw.com/Find/Default.wl?rs=dfa1.0&amp;vr=2.0&amp;DB=350&amp;FindType=Y&amp;ReferencePositionType=S&amp;SerialNum=1990081473&amp;ReferencePosition=249" TargetMode="External"/><Relationship Id="rId321" Type="http://schemas.openxmlformats.org/officeDocument/2006/relationships/hyperlink" Target="http://www.westlaw.com/Find/Default.wl?rs=dfa1.0&amp;vr=2.0&amp;DB=350&amp;FindType=Y&amp;SerialNum=1968116089" TargetMode="External"/><Relationship Id="rId322" Type="http://schemas.openxmlformats.org/officeDocument/2006/relationships/hyperlink" Target="http://www.westlaw.com/Find/Default.wl?rs=dfa1.0&amp;vr=2.0&amp;DB=350&amp;FindType=Y&amp;SerialNum=1968116089" TargetMode="External"/><Relationship Id="rId323" Type="http://schemas.openxmlformats.org/officeDocument/2006/relationships/hyperlink" Target="http://www.westlaw.com/Find/Default.wl?rs=dfa1.0&amp;vr=2.0&amp;DB=506&amp;FindType=Y&amp;ReferencePositionType=S&amp;SerialNum=1995043556&amp;ReferencePosition=372" TargetMode="External"/><Relationship Id="rId324" Type="http://schemas.openxmlformats.org/officeDocument/2006/relationships/hyperlink" Target="http://www.westlaw.com/Find/Default.wl?rs=dfa1.0&amp;vr=2.0&amp;DB=506&amp;FindType=Y&amp;ReferencePositionType=S&amp;SerialNum=1995043556&amp;ReferencePosition=372" TargetMode="External"/><Relationship Id="rId325" Type="http://schemas.openxmlformats.org/officeDocument/2006/relationships/hyperlink" Target="http://www.westlaw.com/Find/Default.wl?rs=dfa1.0&amp;vr=2.0&amp;DB=1153&amp;FindType=Y&amp;ReferencePositionType=S&amp;SerialNum=0330622113&amp;ReferencePosition=122" TargetMode="External"/><Relationship Id="rId326" Type="http://schemas.openxmlformats.org/officeDocument/2006/relationships/hyperlink" Target="http://www.westlaw.com/Find/Default.wl?rs=dfa1.0&amp;vr=2.0&amp;DB=1153&amp;FindType=Y&amp;ReferencePositionType=S&amp;SerialNum=0330622113&amp;ReferencePosition=122" TargetMode="External"/><Relationship Id="rId327" Type="http://schemas.openxmlformats.org/officeDocument/2006/relationships/hyperlink" Target="http://www.westlaw.com/Find/Default.wl?rs=dfa1.0&amp;vr=2.0&amp;DB=0000999&amp;FindType=Y&amp;SerialNum=2008733073" TargetMode="External"/><Relationship Id="rId328" Type="http://schemas.openxmlformats.org/officeDocument/2006/relationships/hyperlink" Target="http://www.westlaw.com/Find/Default.wl?rs=dfa1.0&amp;vr=2.0&amp;DB=0000999&amp;FindType=Y&amp;SerialNum=2008733073" TargetMode="External"/><Relationship Id="rId329" Type="http://schemas.openxmlformats.org/officeDocument/2006/relationships/hyperlink" Target="http://www.westlaw.com/Find/Default.wl?rs=dfa1.0&amp;vr=2.0&amp;DB=506&amp;FindType=Y&amp;ReferencePositionType=S&amp;SerialNum=2003268981&amp;ReferencePosition=86" TargetMode="External"/><Relationship Id="rId100" Type="http://schemas.openxmlformats.org/officeDocument/2006/relationships/hyperlink" Target="http://www.westlaw.com/Find/Default.wl?rs=dfa1.0&amp;vr=2.0&amp;DB=1004365&amp;DocName=USFRCPR59&amp;FindType=L" TargetMode="External"/><Relationship Id="rId101" Type="http://schemas.openxmlformats.org/officeDocument/2006/relationships/hyperlink" Target="http://www.westlaw.com/Find/Default.wl?rs=dfa1.0&amp;vr=2.0&amp;DB=0000999&amp;FindType=Y&amp;SerialNum=2011800740" TargetMode="External"/><Relationship Id="rId102" Type="http://schemas.openxmlformats.org/officeDocument/2006/relationships/hyperlink" Target="http://www.westlaw.com/Find/Default.wl?rs=dfa1.0&amp;vr=2.0&amp;DB=0000999&amp;FindType=Y&amp;SerialNum=2011800740" TargetMode="External"/><Relationship Id="rId103" Type="http://schemas.openxmlformats.org/officeDocument/2006/relationships/hyperlink" Target="http://www.westlaw.com/Find/Default.wl?rs=dfa1.0&amp;vr=2.0&amp;DB=506&amp;FindType=Y&amp;ReferencePositionType=S&amp;SerialNum=1995228896&amp;ReferencePosition=257" TargetMode="External"/><Relationship Id="rId104" Type="http://schemas.openxmlformats.org/officeDocument/2006/relationships/hyperlink" Target="http://www.westlaw.com/Find/Default.wl?rs=dfa1.0&amp;vr=2.0&amp;DB=506&amp;FindType=Y&amp;ReferencePositionType=S&amp;SerialNum=1995228896&amp;ReferencePosition=257" TargetMode="External"/><Relationship Id="rId105" Type="http://schemas.openxmlformats.org/officeDocument/2006/relationships/hyperlink" Target="http://www.westlaw.com/Find/Default.wl?rs=dfa1.0&amp;vr=2.0&amp;DB=350&amp;FindType=Y&amp;ReferencePositionType=S&amp;SerialNum=1983127785&amp;ReferencePosition=789" TargetMode="External"/><Relationship Id="rId106" Type="http://schemas.openxmlformats.org/officeDocument/2006/relationships/hyperlink" Target="http://www.westlaw.com/Find/Default.wl?rs=dfa1.0&amp;vr=2.0&amp;DB=350&amp;FindType=Y&amp;ReferencePositionType=S&amp;SerialNum=1983127785&amp;ReferencePosition=789" TargetMode="External"/><Relationship Id="rId107" Type="http://schemas.openxmlformats.org/officeDocument/2006/relationships/hyperlink" Target="http://www.westlaw.com/Find/Default.wl?rs=dfa1.0&amp;vr=2.0&amp;DB=0000999&amp;FindType=Y&amp;SerialNum=1998186197" TargetMode="External"/><Relationship Id="rId108" Type="http://schemas.openxmlformats.org/officeDocument/2006/relationships/hyperlink" Target="http://www.westlaw.com/Find/Default.wl?rs=dfa1.0&amp;vr=2.0&amp;DB=0000999&amp;FindType=Y&amp;SerialNum=1998186197" TargetMode="External"/><Relationship Id="rId109" Type="http://schemas.openxmlformats.org/officeDocument/2006/relationships/hyperlink" Target="http://www.westlaw.com/Find/Default.wl?rs=dfa1.0&amp;vr=2.0&amp;DB=1005377&amp;DocName=NYRCR6.3&amp;FindType=L" TargetMode="External"/><Relationship Id="rId60" Type="http://schemas.openxmlformats.org/officeDocument/2006/relationships/hyperlink" Target="http://www.westlaw.com/Find/Default.wl?rs=dfa1.0&amp;vr=2.0&amp;DB=1000546&amp;DocName=18USCAS2339B&amp;FindType=L" TargetMode="External"/><Relationship Id="rId61" Type="http://schemas.openxmlformats.org/officeDocument/2006/relationships/hyperlink" Target="http://www.westlaw.com/Find/Default.wl?rs=dfa1.0&amp;vr=2.0&amp;DB=1000546&amp;DocName=18USCAS2339C&amp;FindType=L" TargetMode="External"/><Relationship Id="rId62" Type="http://schemas.openxmlformats.org/officeDocument/2006/relationships/hyperlink" Target="http://www.westlaw.com/Find/Default.wl?rs=dfa1.0&amp;vr=2.0&amp;DB=1000546&amp;DocName=28USCAS1292&amp;FindType=L&amp;ReferencePositionType=T&amp;ReferencePosition=SP_a83b000018c76" TargetMode="External"/><Relationship Id="rId63" Type="http://schemas.openxmlformats.org/officeDocument/2006/relationships/hyperlink" Target="http://www.westlaw.com/Find/Default.wl?rs=dfa1.0&amp;vr=2.0&amp;DB=PROFILER-WLD&amp;DocName=0323613201&amp;FindType=h" TargetMode="External"/><Relationship Id="rId64" Type="http://schemas.openxmlformats.org/officeDocument/2006/relationships/hyperlink" Target="http://www.westlaw.com/Find/Default.wl?rs=dfa1.0&amp;vr=2.0&amp;DB=PROFILER-WLD&amp;DocName=0137979101&amp;FindType=h" TargetMode="External"/><Relationship Id="rId65" Type="http://schemas.openxmlformats.org/officeDocument/2006/relationships/hyperlink" Target="http://www.westlaw.com/Find/Default.wl?rs=dfa1.0&amp;vr=2.0&amp;DB=PROFILER-WLD&amp;DocName=0154205701&amp;FindType=h" TargetMode="External"/><Relationship Id="rId66" Type="http://schemas.openxmlformats.org/officeDocument/2006/relationships/hyperlink" Target="http://www.westlaw.com/Find/Default.wl?rs=dfa1.0&amp;vr=2.0&amp;DB=PROFILER-WLD&amp;DocName=0361759001&amp;FindType=h" TargetMode="External"/><Relationship Id="rId67" Type="http://schemas.openxmlformats.org/officeDocument/2006/relationships/hyperlink" Target="http://www.westlaw.com/Find/Default.wl?rs=dfa1.0&amp;vr=2.0&amp;DB=PROFILER-WLD&amp;DocName=0396279301&amp;FindType=h" TargetMode="External"/><Relationship Id="rId68" Type="http://schemas.openxmlformats.org/officeDocument/2006/relationships/hyperlink" Target="http://www.westlaw.com/Find/Default.wl?rs=dfa1.0&amp;vr=2.0&amp;DB=PROFILER-WLD&amp;DocName=0243369401&amp;FindType=h" TargetMode="External"/><Relationship Id="rId69" Type="http://schemas.openxmlformats.org/officeDocument/2006/relationships/hyperlink" Target="http://www.westlaw.com/Find/Default.wl?rs=dfa1.0&amp;vr=2.0&amp;DB=PROFILER-WLD&amp;DocName=0167098601&amp;FindType=h" TargetMode="External"/><Relationship Id="rId270" Type="http://schemas.openxmlformats.org/officeDocument/2006/relationships/hyperlink" Target="http://www.westlaw.com/Find/Default.wl?rs=dfa1.0&amp;vr=2.0&amp;DB=4637&amp;FindType=Y&amp;ReferencePositionType=S&amp;SerialNum=2017266983&amp;ReferencePosition=494" TargetMode="External"/><Relationship Id="rId271" Type="http://schemas.openxmlformats.org/officeDocument/2006/relationships/hyperlink" Target="http://www.westlaw.com/Find/Default.wl?rs=dfa1.0&amp;vr=2.0&amp;DB=4637&amp;FindType=Y&amp;ReferencePositionType=S&amp;SerialNum=2017266983&amp;ReferencePosition=494" TargetMode="External"/><Relationship Id="rId272" Type="http://schemas.openxmlformats.org/officeDocument/2006/relationships/hyperlink" Target="http://www.westlaw.com/Find/Default.wl?rs=dfa1.0&amp;vr=2.0&amp;DB=4637&amp;FindType=Y&amp;SerialNum=2004377342" TargetMode="External"/><Relationship Id="rId273" Type="http://schemas.openxmlformats.org/officeDocument/2006/relationships/hyperlink" Target="http://www.westlaw.com/Find/Default.wl?rs=dfa1.0&amp;vr=2.0&amp;DB=4637&amp;FindType=Y&amp;SerialNum=2004377342" TargetMode="External"/><Relationship Id="rId274" Type="http://schemas.openxmlformats.org/officeDocument/2006/relationships/hyperlink" Target="http://www.westlaw.com/Find/Default.wl?rs=dfa1.0&amp;vr=2.0&amp;DB=350&amp;FindType=Y&amp;ReferencePositionType=S&amp;SerialNum=1990081473&amp;ReferencePosition=249" TargetMode="External"/><Relationship Id="rId275" Type="http://schemas.openxmlformats.org/officeDocument/2006/relationships/hyperlink" Target="http://www.westlaw.com/Find/Default.wl?rs=dfa1.0&amp;vr=2.0&amp;DB=350&amp;FindType=Y&amp;ReferencePositionType=S&amp;SerialNum=1990081473&amp;ReferencePosition=249" TargetMode="External"/><Relationship Id="rId276" Type="http://schemas.openxmlformats.org/officeDocument/2006/relationships/hyperlink" Target="http://www.westlaw.com/Find/Default.wl?rs=dfa1.0&amp;vr=2.0&amp;DB=506&amp;FindType=Y&amp;ReferencePositionType=S&amp;SerialNum=1999063361&amp;ReferencePosition=553" TargetMode="External"/><Relationship Id="rId277" Type="http://schemas.openxmlformats.org/officeDocument/2006/relationships/hyperlink" Target="http://www.westlaw.com/Find/Default.wl?rs=dfa1.0&amp;vr=2.0&amp;DB=506&amp;FindType=Y&amp;ReferencePositionType=S&amp;SerialNum=1999063361&amp;ReferencePosition=553" TargetMode="External"/><Relationship Id="rId278" Type="http://schemas.openxmlformats.org/officeDocument/2006/relationships/hyperlink" Target="http://www.westlaw.com/Find/Default.wl?rs=dfa1.0&amp;vr=2.0&amp;DB=4637&amp;FindType=Y&amp;ReferencePositionType=S&amp;SerialNum=2019898265&amp;ReferencePosition=431" TargetMode="External"/><Relationship Id="rId279" Type="http://schemas.openxmlformats.org/officeDocument/2006/relationships/hyperlink" Target="http://www.westlaw.com/Find/Default.wl?rs=dfa1.0&amp;vr=2.0&amp;DB=4637&amp;FindType=Y&amp;ReferencePositionType=S&amp;SerialNum=2019898265&amp;ReferencePosition=431" TargetMode="External"/><Relationship Id="rId330" Type="http://schemas.openxmlformats.org/officeDocument/2006/relationships/hyperlink" Target="http://www.westlaw.com/Find/Default.wl?rs=dfa1.0&amp;vr=2.0&amp;DB=506&amp;FindType=Y&amp;ReferencePositionType=S&amp;SerialNum=2003268981&amp;ReferencePosition=86" TargetMode="External"/><Relationship Id="rId331" Type="http://schemas.openxmlformats.org/officeDocument/2006/relationships/hyperlink" Target="http://www.westlaw.com/Find/Default.wl?rs=dfa1.0&amp;vr=2.0&amp;DB=4637&amp;FindType=Y&amp;SerialNum=2004377342" TargetMode="External"/><Relationship Id="rId332" Type="http://schemas.openxmlformats.org/officeDocument/2006/relationships/hyperlink" Target="http://www.westlaw.com/Find/Default.wl?rs=dfa1.0&amp;vr=2.0&amp;DB=4637&amp;FindType=Y&amp;SerialNum=2004377342" TargetMode="External"/><Relationship Id="rId333" Type="http://schemas.openxmlformats.org/officeDocument/2006/relationships/hyperlink" Target="http://www.westlaw.com/Find/Default.wl?rs=dfa1.0&amp;vr=2.0&amp;DB=506&amp;FindType=Y&amp;ReferencePositionType=S&amp;SerialNum=2003268981&amp;ReferencePosition=106" TargetMode="External"/><Relationship Id="rId334" Type="http://schemas.openxmlformats.org/officeDocument/2006/relationships/hyperlink" Target="http://www.westlaw.com/Find/Default.wl?rs=dfa1.0&amp;vr=2.0&amp;DB=506&amp;FindType=Y&amp;ReferencePositionType=S&amp;SerialNum=2003268981&amp;ReferencePosition=106" TargetMode="External"/><Relationship Id="rId335" Type="http://schemas.openxmlformats.org/officeDocument/2006/relationships/hyperlink" Target="http://www.westlaw.com/Find/Default.wl?rs=dfa1.0&amp;vr=2.0&amp;DB=350&amp;FindType=Y&amp;SerialNum=1983123150" TargetMode="External"/><Relationship Id="rId336" Type="http://schemas.openxmlformats.org/officeDocument/2006/relationships/hyperlink" Target="http://www.westlaw.com/Find/Default.wl?rs=dfa1.0&amp;vr=2.0&amp;DB=350&amp;FindType=Y&amp;SerialNum=1983123150" TargetMode="External"/><Relationship Id="rId337" Type="http://schemas.openxmlformats.org/officeDocument/2006/relationships/hyperlink" Target="http://www.westlaw.com/Find/Default.wl?rs=dfa1.0&amp;vr=2.0&amp;DB=506&amp;FindType=Y&amp;ReferencePositionType=S&amp;SerialNum=2003268981&amp;ReferencePosition=91" TargetMode="External"/><Relationship Id="rId338" Type="http://schemas.openxmlformats.org/officeDocument/2006/relationships/hyperlink" Target="http://www.westlaw.com/Find/Default.wl?rs=dfa1.0&amp;vr=2.0&amp;DB=506&amp;FindType=Y&amp;ReferencePositionType=S&amp;SerialNum=2003268981&amp;ReferencePosition=91" TargetMode="External"/><Relationship Id="rId339" Type="http://schemas.openxmlformats.org/officeDocument/2006/relationships/hyperlink" Target="http://www.westlaw.com/Find/Default.wl?rs=dfa1.0&amp;vr=2.0&amp;DB=100447&amp;FindType=Y&amp;SerialNum=0101288852" TargetMode="External"/><Relationship Id="rId110" Type="http://schemas.openxmlformats.org/officeDocument/2006/relationships/hyperlink" Target="http://www.westlaw.com/Find/Default.wl?rs=dfa1.0&amp;vr=2.0&amp;DB=345&amp;FindType=Y&amp;ReferencePositionType=S&amp;SerialNum=1986102338&amp;ReferencePosition=748" TargetMode="External"/><Relationship Id="rId111" Type="http://schemas.openxmlformats.org/officeDocument/2006/relationships/hyperlink" Target="http://www.westlaw.com/Find/Default.wl?rs=dfa1.0&amp;vr=2.0&amp;DB=345&amp;FindType=Y&amp;ReferencePositionType=S&amp;SerialNum=1986102338&amp;ReferencePosition=748" TargetMode="External"/><Relationship Id="rId112" Type="http://schemas.openxmlformats.org/officeDocument/2006/relationships/hyperlink" Target="http://www.westlaw.com/Find/Default.wl?rs=dfa1.0&amp;vr=2.0&amp;DB=345&amp;FindType=Y&amp;ReferencePositionType=S&amp;SerialNum=1989096846&amp;ReferencePosition=517" TargetMode="External"/><Relationship Id="rId113" Type="http://schemas.openxmlformats.org/officeDocument/2006/relationships/hyperlink" Target="http://www.westlaw.com/Find/Default.wl?rs=dfa1.0&amp;vr=2.0&amp;DB=345&amp;FindType=Y&amp;ReferencePositionType=S&amp;SerialNum=1989096846&amp;ReferencePosition=517" TargetMode="External"/><Relationship Id="rId114" Type="http://schemas.openxmlformats.org/officeDocument/2006/relationships/hyperlink" Target="http://www.westlaw.com/Find/Default.wl?rs=dfa1.0&amp;vr=2.0&amp;DB=345&amp;FindType=Y&amp;ReferencePositionType=S&amp;SerialNum=1987000397&amp;ReferencePosition=1548" TargetMode="External"/><Relationship Id="rId115" Type="http://schemas.openxmlformats.org/officeDocument/2006/relationships/hyperlink" Target="http://www.westlaw.com/Find/Default.wl?rs=dfa1.0&amp;vr=2.0&amp;DB=345&amp;FindType=Y&amp;ReferencePositionType=S&amp;SerialNum=1987000397&amp;ReferencePosition=1548" TargetMode="External"/><Relationship Id="rId70" Type="http://schemas.openxmlformats.org/officeDocument/2006/relationships/hyperlink" Target="http://www.westlaw.com/Find/Default.wl?rs=dfa1.0&amp;vr=2.0&amp;DB=PROFILER-WLD&amp;DocName=0154771201&amp;FindType=h" TargetMode="External"/><Relationship Id="rId71" Type="http://schemas.openxmlformats.org/officeDocument/2006/relationships/hyperlink" Target="http://www.westlaw.com/Find/Default.wl?rs=dfa1.0&amp;vr=2.0&amp;DB=PROFILER-WLD&amp;DocName=0322145001&amp;FindType=h" TargetMode="External"/><Relationship Id="rId72" Type="http://schemas.openxmlformats.org/officeDocument/2006/relationships/hyperlink" Target="http://www.westlaw.com/Find/Default.wl?rs=dfa1.0&amp;vr=2.0&amp;DB=PROFILER-WLD&amp;DocName=0194956101&amp;FindType=h" TargetMode="External"/><Relationship Id="rId73" Type="http://schemas.openxmlformats.org/officeDocument/2006/relationships/hyperlink" Target="http://www.westlaw.com/Find/Default.wl?rs=dfa1.0&amp;vr=2.0&amp;DB=PROFILER-WLD&amp;DocName=0156287601&amp;FindType=h" TargetMode="External"/><Relationship Id="rId74" Type="http://schemas.openxmlformats.org/officeDocument/2006/relationships/hyperlink" Target="http://www.westlaw.com/Find/Default.wl?rs=dfa1.0&amp;vr=2.0&amp;DB=PROFILER-WLD&amp;DocName=0198307001&amp;FindType=h" TargetMode="External"/><Relationship Id="rId75" Type="http://schemas.openxmlformats.org/officeDocument/2006/relationships/hyperlink" Target="http://www.westlaw.com/Find/Default.wl?rs=dfa1.0&amp;vr=2.0&amp;DB=1000546&amp;DocName=18USCAS2333&amp;FindType=L&amp;ReferencePositionType=T&amp;ReferencePosition=SP_8b3b0000958a4" TargetMode="External"/><Relationship Id="rId76" Type="http://schemas.openxmlformats.org/officeDocument/2006/relationships/hyperlink" Target="http://www.westlaw.com/Find/Default.wl?rs=dfa1.0&amp;vr=2.0&amp;DB=1000546&amp;DocName=18USCAS2332&amp;FindType=L&amp;ReferencePositionType=T&amp;ReferencePosition=SP_8b3b0000958a4" TargetMode="External"/><Relationship Id="rId77" Type="http://schemas.openxmlformats.org/officeDocument/2006/relationships/hyperlink" Target="http://www.westlaw.com/Find/Default.wl?rs=dfa1.0&amp;vr=2.0&amp;DB=1000546&amp;DocName=18USCAS2332&amp;FindType=L&amp;ReferencePositionType=T&amp;ReferencePosition=SP_4b24000003ba5" TargetMode="External"/><Relationship Id="rId78" Type="http://schemas.openxmlformats.org/officeDocument/2006/relationships/hyperlink" Target="http://www.westlaw.com/Find/Default.wl?rs=dfa1.0&amp;vr=2.0&amp;DB=1000546&amp;DocName=18USCAS2333&amp;FindType=L&amp;ReferencePositionType=T&amp;ReferencePosition=SP_8b3b0000958a4" TargetMode="External"/><Relationship Id="rId79" Type="http://schemas.openxmlformats.org/officeDocument/2006/relationships/hyperlink" Target="http://www.westlaw.com/Find/Default.wl?rs=dfa1.0&amp;vr=2.0&amp;DB=1000546&amp;DocName=18USCAS2339B&amp;FindType=L&amp;ReferencePositionType=T&amp;ReferencePosition=SP_7b9b000044381" TargetMode="External"/><Relationship Id="rId116" Type="http://schemas.openxmlformats.org/officeDocument/2006/relationships/hyperlink" Target="http://www.westlaw.com/Find/Default.wl?rs=dfa1.0&amp;vr=2.0&amp;DB=0000999&amp;FindType=Y&amp;SerialNum=1990024230" TargetMode="External"/><Relationship Id="rId117" Type="http://schemas.openxmlformats.org/officeDocument/2006/relationships/hyperlink" Target="http://www.westlaw.com/Find/Default.wl?rs=dfa1.0&amp;vr=2.0&amp;DB=0000999&amp;FindType=Y&amp;SerialNum=1990024230" TargetMode="External"/><Relationship Id="rId118" Type="http://schemas.openxmlformats.org/officeDocument/2006/relationships/hyperlink" Target="http://www.westlaw.com/Find/Default.wl?rs=dfa1.0&amp;vr=2.0&amp;DB=1000546&amp;DocName=18USCAS2334&amp;FindType=L&amp;ReferencePositionType=T&amp;ReferencePosition=SP_5ba1000067d06" TargetMode="External"/><Relationship Id="rId119" Type="http://schemas.openxmlformats.org/officeDocument/2006/relationships/hyperlink" Target="http://www.westlaw.com/Find/Default.wl?rs=dfa1.0&amp;vr=2.0&amp;DB=1000546&amp;DocName=18USCAS2333&amp;FindType=L" TargetMode="External"/><Relationship Id="rId280" Type="http://schemas.openxmlformats.org/officeDocument/2006/relationships/hyperlink" Target="http://www.westlaw.com/Find/Default.wl?rs=dfa1.0&amp;vr=2.0&amp;DB=506&amp;FindType=Y&amp;ReferencePositionType=S&amp;SerialNum=2003268981&amp;ReferencePosition=112" TargetMode="External"/><Relationship Id="rId281" Type="http://schemas.openxmlformats.org/officeDocument/2006/relationships/hyperlink" Target="http://www.westlaw.com/Find/Default.wl?rs=dfa1.0&amp;vr=2.0&amp;DB=506&amp;FindType=Y&amp;ReferencePositionType=S&amp;SerialNum=2003268981&amp;ReferencePosition=112" TargetMode="External"/><Relationship Id="rId282" Type="http://schemas.openxmlformats.org/officeDocument/2006/relationships/hyperlink" Target="http://www.westlaw.com/Find/Default.wl?rs=dfa1.0&amp;vr=2.0&amp;DB=506&amp;FindType=Y&amp;ReferencePositionType=S&amp;SerialNum=1998116062&amp;ReferencePosition=1257" TargetMode="External"/><Relationship Id="rId283" Type="http://schemas.openxmlformats.org/officeDocument/2006/relationships/hyperlink" Target="http://www.westlaw.com/Find/Default.wl?rs=dfa1.0&amp;vr=2.0&amp;DB=506&amp;FindType=Y&amp;ReferencePositionType=S&amp;SerialNum=1998116062&amp;ReferencePosition=1257" TargetMode="External"/><Relationship Id="rId284" Type="http://schemas.openxmlformats.org/officeDocument/2006/relationships/hyperlink" Target="http://www.westlaw.com/Find/Default.wl?rs=dfa1.0&amp;vr=2.0&amp;DB=708&amp;FindType=Y&amp;SerialNum=1980101293" TargetMode="External"/><Relationship Id="rId285" Type="http://schemas.openxmlformats.org/officeDocument/2006/relationships/hyperlink" Target="http://www.westlaw.com/Find/Default.wl?rs=dfa1.0&amp;vr=2.0&amp;DB=708&amp;FindType=Y&amp;SerialNum=1980101293" TargetMode="External"/><Relationship Id="rId286" Type="http://schemas.openxmlformats.org/officeDocument/2006/relationships/hyperlink" Target="http://www.westlaw.com/Find/Default.wl?rs=dfa1.0&amp;vr=2.0&amp;DB=506&amp;FindType=Y&amp;ReferencePositionType=S&amp;SerialNum=2008680275&amp;ReferencePosition=1168" TargetMode="External"/><Relationship Id="rId287" Type="http://schemas.openxmlformats.org/officeDocument/2006/relationships/hyperlink" Target="http://www.westlaw.com/Find/Default.wl?rs=dfa1.0&amp;vr=2.0&amp;DB=506&amp;FindType=Y&amp;ReferencePositionType=S&amp;SerialNum=2008680275&amp;ReferencePosition=1168" TargetMode="External"/><Relationship Id="rId288" Type="http://schemas.openxmlformats.org/officeDocument/2006/relationships/hyperlink" Target="http://www.westlaw.com/Find/Default.wl?rs=dfa1.0&amp;vr=2.0&amp;DB=708&amp;FindType=Y&amp;SerialNum=1952118697" TargetMode="External"/><Relationship Id="rId289" Type="http://schemas.openxmlformats.org/officeDocument/2006/relationships/hyperlink" Target="http://www.westlaw.com/Find/Default.wl?rs=dfa1.0&amp;vr=2.0&amp;DB=708&amp;FindType=Y&amp;SerialNum=1952118697" TargetMode="External"/><Relationship Id="rId340" Type="http://schemas.openxmlformats.org/officeDocument/2006/relationships/hyperlink" Target="http://www.westlaw.com/Find/Default.wl?rs=dfa1.0&amp;vr=2.0&amp;DB=100447&amp;FindType=Y&amp;SerialNum=0101288852" TargetMode="External"/><Relationship Id="rId341" Type="http://schemas.openxmlformats.org/officeDocument/2006/relationships/hyperlink" Target="http://www.westlaw.com/Find/Default.wl?rs=dfa1.0&amp;vr=2.0&amp;DB=1000546&amp;DocName=18USCAS2331&amp;FindType=L" TargetMode="External"/><Relationship Id="rId342" Type="http://schemas.openxmlformats.org/officeDocument/2006/relationships/hyperlink" Target="http://www.westlaw.com/Find/Default.wl?rs=dfa1.0&amp;vr=2.0&amp;DB=1488&amp;FindType=Y&amp;SerialNum=0333482444" TargetMode="External"/><Relationship Id="rId343" Type="http://schemas.openxmlformats.org/officeDocument/2006/relationships/hyperlink" Target="http://www.westlaw.com/Find/Default.wl?rs=dfa1.0&amp;vr=2.0&amp;DB=1488&amp;FindType=Y&amp;SerialNum=0333482444" TargetMode="External"/><Relationship Id="rId344" Type="http://schemas.openxmlformats.org/officeDocument/2006/relationships/hyperlink" Target="http://www.westlaw.com/Find/Default.wl?rs=dfa1.0&amp;vr=2.0&amp;DB=137647&amp;FindType=Y&amp;SerialNum=0331372715" TargetMode="External"/><Relationship Id="rId345" Type="http://schemas.openxmlformats.org/officeDocument/2006/relationships/hyperlink" Target="http://www.westlaw.com/Find/Default.wl?rs=dfa1.0&amp;vr=2.0&amp;DB=137647&amp;FindType=Y&amp;SerialNum=0331372715" TargetMode="External"/><Relationship Id="rId346" Type="http://schemas.openxmlformats.org/officeDocument/2006/relationships/hyperlink" Target="http://www.westlaw.com/Find/Default.wl?rs=dfa1.0&amp;vr=2.0&amp;DB=1275&amp;FindType=Y&amp;SerialNum=0307486827" TargetMode="External"/><Relationship Id="rId347" Type="http://schemas.openxmlformats.org/officeDocument/2006/relationships/hyperlink" Target="http://www.westlaw.com/Find/Default.wl?rs=dfa1.0&amp;vr=2.0&amp;DB=1275&amp;FindType=Y&amp;SerialNum=0307486827" TargetMode="External"/><Relationship Id="rId348" Type="http://schemas.openxmlformats.org/officeDocument/2006/relationships/hyperlink" Target="http://www.westlaw.com/Find/Default.wl?rs=dfa1.0&amp;vr=2.0&amp;DB=1350&amp;FindType=Y&amp;ReferencePositionType=S&amp;SerialNum=0341691770&amp;ReferencePosition=1114" TargetMode="External"/><Relationship Id="rId349" Type="http://schemas.openxmlformats.org/officeDocument/2006/relationships/hyperlink" Target="http://www.westlaw.com/Find/Default.wl?rs=dfa1.0&amp;vr=2.0&amp;DB=1350&amp;FindType=Y&amp;ReferencePositionType=S&amp;SerialNum=0341691770&amp;ReferencePosition=1114" TargetMode="External"/><Relationship Id="rId400" Type="http://schemas.openxmlformats.org/officeDocument/2006/relationships/hyperlink" Target="http://www.westlaw.com/Find/Default.wl?rs=dfa1.0&amp;vr=2.0&amp;DB=1000546&amp;DocName=18USCAS2331&amp;FindType=L&amp;ReferencePositionType=T&amp;ReferencePosition=SP_f1c50000821b0" TargetMode="External"/><Relationship Id="rId401" Type="http://schemas.openxmlformats.org/officeDocument/2006/relationships/hyperlink" Target="http://www.westlaw.com/Find/Default.wl?rs=dfa1.0&amp;vr=2.0&amp;DB=506&amp;FindType=Y&amp;ReferencePositionType=S&amp;SerialNum=2017570303&amp;ReferencePosition=694" TargetMode="External"/><Relationship Id="rId402" Type="http://schemas.openxmlformats.org/officeDocument/2006/relationships/hyperlink" Target="http://www.westlaw.com/Find/Default.wl?rs=dfa1.0&amp;vr=2.0&amp;DB=1000546&amp;DocName=18USCAS2339A&amp;FindType=L" TargetMode="External"/><Relationship Id="rId403" Type="http://schemas.openxmlformats.org/officeDocument/2006/relationships/hyperlink" Target="http://www.westlaw.com/Find/Default.wl?rs=dfa1.0&amp;vr=2.0&amp;DB=1000546&amp;DocName=18USCAS2331&amp;FindType=L&amp;ReferencePositionType=T&amp;ReferencePosition=SP_f1c50000821b0" TargetMode="External"/><Relationship Id="rId404" Type="http://schemas.openxmlformats.org/officeDocument/2006/relationships/hyperlink" Target="http://www.westlaw.com/Find/Default.wl?rs=dfa1.0&amp;vr=2.0&amp;DB=1000546&amp;DocName=18USCAS2339C&amp;FindType=L" TargetMode="External"/><Relationship Id="rId405" Type="http://schemas.openxmlformats.org/officeDocument/2006/relationships/hyperlink" Target="http://www.westlaw.com/Find/Default.wl?rs=dfa1.0&amp;vr=2.0&amp;DB=4637&amp;FindType=Y&amp;ReferencePositionType=S&amp;SerialNum=2007230499&amp;ReferencePosition=581" TargetMode="External"/><Relationship Id="rId406" Type="http://schemas.openxmlformats.org/officeDocument/2006/relationships/hyperlink" Target="http://www.westlaw.com/Find/Default.wl?rs=dfa1.0&amp;vr=2.0&amp;DB=4637&amp;FindType=Y&amp;ReferencePositionType=S&amp;SerialNum=2007230499&amp;ReferencePosition=581" TargetMode="External"/><Relationship Id="rId407" Type="http://schemas.openxmlformats.org/officeDocument/2006/relationships/hyperlink" Target="http://www.westlaw.com/Find/Default.wl?rs=dfa1.0&amp;vr=2.0&amp;DB=1000546&amp;DocName=18USCAS2331&amp;FindType=L" TargetMode="External"/><Relationship Id="rId408" Type="http://schemas.openxmlformats.org/officeDocument/2006/relationships/hyperlink" Target="http://www.westlaw.com/Find/Default.wl?rs=dfa1.0&amp;vr=2.0&amp;DB=1000546&amp;DocName=18USCAS2331&amp;FindType=L&amp;ReferencePositionType=T&amp;ReferencePosition=SP_d5a000005aa25" TargetMode="External"/><Relationship Id="rId409" Type="http://schemas.openxmlformats.org/officeDocument/2006/relationships/hyperlink" Target="http://www.westlaw.com/Find/Default.wl?rs=dfa1.0&amp;vr=2.0&amp;DB=350&amp;FindType=Y&amp;ReferencePositionType=S&amp;SerialNum=1975142395&amp;ReferencePosition=206" TargetMode="External"/><Relationship Id="rId120" Type="http://schemas.openxmlformats.org/officeDocument/2006/relationships/hyperlink" Target="http://www.westlaw.com/Find/Default.wl?rs=dfa1.0&amp;vr=2.0&amp;DB=506&amp;FindType=Y&amp;ReferencePositionType=S&amp;SerialNum=2002350044&amp;ReferencePosition=1010" TargetMode="External"/><Relationship Id="rId121" Type="http://schemas.openxmlformats.org/officeDocument/2006/relationships/hyperlink" Target="http://www.westlaw.com/Find/Default.wl?rs=dfa1.0&amp;vr=2.0&amp;DB=506&amp;FindType=Y&amp;ReferencePositionType=S&amp;SerialNum=2002350044&amp;ReferencePosition=1010" TargetMode="External"/><Relationship Id="rId122" Type="http://schemas.openxmlformats.org/officeDocument/2006/relationships/hyperlink" Target="http://www.westlaw.com/Find/Default.wl?rs=dfa1.0&amp;vr=2.0&amp;DB=578&amp;FindType=Y&amp;SerialNum=1980113750" TargetMode="External"/><Relationship Id="rId123" Type="http://schemas.openxmlformats.org/officeDocument/2006/relationships/hyperlink" Target="http://www.westlaw.com/Find/Default.wl?rs=dfa1.0&amp;vr=2.0&amp;DB=578&amp;FindType=Y&amp;SerialNum=1980113750" TargetMode="External"/><Relationship Id="rId124" Type="http://schemas.openxmlformats.org/officeDocument/2006/relationships/hyperlink" Target="http://www.westlaw.com/Find/Default.wl?rs=dfa1.0&amp;vr=2.0&amp;DB=0113400&amp;FindType=Y&amp;SerialNum=0107364131" TargetMode="External"/><Relationship Id="rId125" Type="http://schemas.openxmlformats.org/officeDocument/2006/relationships/hyperlink" Target="http://www.westlaw.com/Find/Default.wl?rs=dfa1.0&amp;vr=2.0&amp;DB=0113400&amp;FindType=Y&amp;SerialNum=0107364131" TargetMode="External"/><Relationship Id="rId80" Type="http://schemas.openxmlformats.org/officeDocument/2006/relationships/hyperlink" Target="http://www.westlaw.com/Find/Default.wl?rs=dfa1.0&amp;vr=2.0&amp;DB=1000546&amp;DocName=18USCAS2333&amp;FindType=L&amp;ReferencePositionType=T&amp;ReferencePosition=SP_8b3b0000958a4" TargetMode="External"/><Relationship Id="rId81" Type="http://schemas.openxmlformats.org/officeDocument/2006/relationships/hyperlink" Target="http://www.westlaw.com/Find/Default.wl?rs=dfa1.0&amp;vr=2.0&amp;DB=1000546&amp;DocName=18USCAS2339C&amp;FindType=L" TargetMode="External"/><Relationship Id="rId82" Type="http://schemas.openxmlformats.org/officeDocument/2006/relationships/hyperlink" Target="http://www.westlaw.com/Find/Default.wl?rs=dfa1.0&amp;vr=2.0&amp;DB=1000546&amp;DocName=18USCAS2332&amp;FindType=L&amp;ReferencePositionType=T&amp;ReferencePosition=SP_8b3b0000958a4" TargetMode="External"/><Relationship Id="rId83" Type="http://schemas.openxmlformats.org/officeDocument/2006/relationships/hyperlink" Target="http://www.westlaw.com/Find/Default.wl?rs=dfa1.0&amp;vr=2.0&amp;DB=1000546&amp;DocName=18USCAS2333&amp;FindType=L&amp;ReferencePositionType=T&amp;ReferencePosition=SP_8b3b0000958a4" TargetMode="External"/><Relationship Id="rId84" Type="http://schemas.openxmlformats.org/officeDocument/2006/relationships/hyperlink" Target="http://www.westlaw.com/Find/Default.wl?rs=dfa1.0&amp;vr=2.0&amp;DB=1000546&amp;DocName=18USCAS2332&amp;FindType=L&amp;ReferencePositionType=T&amp;ReferencePosition=SP_8b3b0000958a4" TargetMode="External"/><Relationship Id="rId85" Type="http://schemas.openxmlformats.org/officeDocument/2006/relationships/hyperlink" Target="http://www.westlaw.com/Find/Default.wl?rs=dfa1.0&amp;vr=2.0&amp;DB=1000546&amp;DocName=18USCAS2332&amp;FindType=L&amp;ReferencePositionType=T&amp;ReferencePosition=SP_4b24000003ba5" TargetMode="External"/><Relationship Id="rId86" Type="http://schemas.openxmlformats.org/officeDocument/2006/relationships/hyperlink" Target="http://www.westlaw.com/Find/Default.wl?rs=dfa1.0&amp;vr=2.0&amp;DB=1000546&amp;DocName=18USCAS2339B&amp;FindType=L&amp;ReferencePositionType=T&amp;ReferencePosition=SP_7b9b000044381" TargetMode="External"/><Relationship Id="rId87" Type="http://schemas.openxmlformats.org/officeDocument/2006/relationships/hyperlink" Target="http://www.westlaw.com/Find/Default.wl?rs=dfa1.0&amp;vr=2.0&amp;DB=1000546&amp;DocName=18USCAS2339C&amp;FindType=L" TargetMode="External"/><Relationship Id="rId88" Type="http://schemas.openxmlformats.org/officeDocument/2006/relationships/hyperlink" Target="http://www.westlaw.com/Find/Default.wl?rs=dfa1.0&amp;vr=2.0&amp;DB=1004365&amp;DocName=USFRCPR8&amp;FindType=L" TargetMode="External"/><Relationship Id="rId89" Type="http://schemas.openxmlformats.org/officeDocument/2006/relationships/hyperlink" Target="http://www.westlaw.com/Find/Default.wl?rs=dfa1.0&amp;vr=2.0&amp;DB=1000546&amp;DocName=18USCAS2332&amp;FindType=L" TargetMode="External"/><Relationship Id="rId126" Type="http://schemas.openxmlformats.org/officeDocument/2006/relationships/hyperlink" Target="http://www.westlaw.com/Find/Default.wl?rs=dfa1.0&amp;vr=2.0&amp;DB=0113400&amp;FindType=Y&amp;SerialNum=0107364131" TargetMode="External"/><Relationship Id="rId127" Type="http://schemas.openxmlformats.org/officeDocument/2006/relationships/hyperlink" Target="http://www.westlaw.com/Find/Default.wl?rs=dfa1.0&amp;vr=2.0&amp;DB=708&amp;FindType=Y&amp;SerialNum=1974127120" TargetMode="External"/><Relationship Id="rId128" Type="http://schemas.openxmlformats.org/officeDocument/2006/relationships/hyperlink" Target="http://www.westlaw.com/Find/Default.wl?rs=dfa1.0&amp;vr=2.0&amp;DB=708&amp;FindType=Y&amp;SerialNum=1974127120" TargetMode="External"/><Relationship Id="rId129" Type="http://schemas.openxmlformats.org/officeDocument/2006/relationships/hyperlink" Target="http://www.westlaw.com/Find/Default.wl?rs=dfa1.0&amp;vr=2.0&amp;DB=708&amp;FindType=Y&amp;SerialNum=1990157731" TargetMode="External"/><Relationship Id="rId290" Type="http://schemas.openxmlformats.org/officeDocument/2006/relationships/hyperlink" Target="http://www.westlaw.com/Find/Default.wl?rs=dfa1.0&amp;vr=2.0&amp;DB=708&amp;FindType=Y&amp;SerialNum=1952201362" TargetMode="External"/><Relationship Id="rId291" Type="http://schemas.openxmlformats.org/officeDocument/2006/relationships/hyperlink" Target="http://www.westlaw.com/Find/Default.wl?rs=dfa1.0&amp;vr=2.0&amp;DB=708&amp;FindType=Y&amp;ReferencePositionType=S&amp;SerialNum=1981101935&amp;ReferencePosition=642" TargetMode="External"/><Relationship Id="rId292" Type="http://schemas.openxmlformats.org/officeDocument/2006/relationships/hyperlink" Target="http://www.westlaw.com/Find/Default.wl?rs=dfa1.0&amp;vr=2.0&amp;DB=708&amp;FindType=Y&amp;ReferencePositionType=S&amp;SerialNum=1981101935&amp;ReferencePosition=642" TargetMode="External"/><Relationship Id="rId293" Type="http://schemas.openxmlformats.org/officeDocument/2006/relationships/hyperlink" Target="http://www.westlaw.com/Find/Default.wl?rs=dfa1.0&amp;vr=2.0&amp;DB=1282&amp;FindType=Y&amp;ReferencePositionType=S&amp;SerialNum=0347537398&amp;ReferencePosition=1360" TargetMode="External"/><Relationship Id="rId294" Type="http://schemas.openxmlformats.org/officeDocument/2006/relationships/hyperlink" Target="http://www.westlaw.com/Find/Default.wl?rs=dfa1.0&amp;vr=2.0&amp;DB=1282&amp;FindType=Y&amp;ReferencePositionType=S&amp;SerialNum=0347537398&amp;ReferencePosition=1360" TargetMode="External"/><Relationship Id="rId295" Type="http://schemas.openxmlformats.org/officeDocument/2006/relationships/hyperlink" Target="http://www.westlaw.com/Find/Default.wl?rs=dfa1.0&amp;vr=2.0&amp;DB=708&amp;FindType=Y&amp;SerialNum=1990084112" TargetMode="External"/><Relationship Id="rId296" Type="http://schemas.openxmlformats.org/officeDocument/2006/relationships/hyperlink" Target="http://www.westlaw.com/Find/Default.wl?rs=dfa1.0&amp;vr=2.0&amp;DB=708&amp;FindType=Y&amp;SerialNum=1990084112" TargetMode="External"/><Relationship Id="rId297" Type="http://schemas.openxmlformats.org/officeDocument/2006/relationships/hyperlink" Target="http://www.westlaw.com/Find/Default.wl?rs=dfa1.0&amp;vr=2.0&amp;DB=350&amp;FindType=Y&amp;ReferencePositionType=S&amp;SerialNum=1945116550&amp;ReferencePosition=443" TargetMode="External"/><Relationship Id="rId298" Type="http://schemas.openxmlformats.org/officeDocument/2006/relationships/hyperlink" Target="http://www.westlaw.com/Find/Default.wl?rs=dfa1.0&amp;vr=2.0&amp;DB=350&amp;FindType=Y&amp;ReferencePositionType=S&amp;SerialNum=1945116550&amp;ReferencePosition=443" TargetMode="External"/><Relationship Id="rId299" Type="http://schemas.openxmlformats.org/officeDocument/2006/relationships/hyperlink" Target="http://www.westlaw.com/Find/Default.wl?rs=dfa1.0&amp;vr=2.0&amp;FindType=Y&amp;SerialNum=1981101935" TargetMode="External"/><Relationship Id="rId350" Type="http://schemas.openxmlformats.org/officeDocument/2006/relationships/hyperlink" Target="http://www.westlaw.com/Find/Default.wl?rs=dfa1.0&amp;vr=2.0&amp;DB=0102182&amp;FindType=Y&amp;SerialNum=0289476778" TargetMode="External"/><Relationship Id="rId351" Type="http://schemas.openxmlformats.org/officeDocument/2006/relationships/hyperlink" Target="http://www.westlaw.com/Find/Default.wl?rs=dfa1.0&amp;vr=2.0&amp;DB=1350&amp;FindType=Y&amp;ReferencePositionType=S&amp;SerialNum=0338438782&amp;ReferencePosition=75" TargetMode="External"/><Relationship Id="rId352" Type="http://schemas.openxmlformats.org/officeDocument/2006/relationships/hyperlink" Target="http://www.westlaw.com/Find/Default.wl?rs=dfa1.0&amp;vr=2.0&amp;DB=1350&amp;FindType=Y&amp;ReferencePositionType=S&amp;SerialNum=0338438782&amp;ReferencePosition=75" TargetMode="External"/><Relationship Id="rId353" Type="http://schemas.openxmlformats.org/officeDocument/2006/relationships/hyperlink" Target="http://www.westlaw.com/Find/Default.wl?rs=dfa1.0&amp;vr=2.0&amp;DB=1269&amp;FindType=Y&amp;ReferencePositionType=S&amp;SerialNum=0112656456&amp;ReferencePosition=696" TargetMode="External"/><Relationship Id="rId354" Type="http://schemas.openxmlformats.org/officeDocument/2006/relationships/hyperlink" Target="http://www.westlaw.com/Find/Default.wl?rs=dfa1.0&amp;vr=2.0&amp;DB=345&amp;FindType=Y&amp;ReferencePositionType=S&amp;SerialNum=1989172807&amp;ReferencePosition=398" TargetMode="External"/><Relationship Id="rId355" Type="http://schemas.openxmlformats.org/officeDocument/2006/relationships/hyperlink" Target="http://www.westlaw.com/Find/Default.wl?rs=dfa1.0&amp;vr=2.0&amp;DB=345&amp;FindType=Y&amp;ReferencePositionType=S&amp;SerialNum=1989172807&amp;ReferencePosition=398" TargetMode="External"/><Relationship Id="rId356" Type="http://schemas.openxmlformats.org/officeDocument/2006/relationships/hyperlink" Target="http://www.westlaw.com/Find/Default.wl?rs=dfa1.0&amp;vr=2.0&amp;DB=0102182&amp;FindType=Y&amp;SerialNum=0289476779" TargetMode="External"/><Relationship Id="rId357" Type="http://schemas.openxmlformats.org/officeDocument/2006/relationships/hyperlink" Target="http://www.westlaw.com/Find/Default.wl?rs=dfa1.0&amp;vr=2.0&amp;DB=176279&amp;FindType=Y&amp;ReferencePositionType=S&amp;SerialNum=0347276215&amp;ReferencePosition=825" TargetMode="External"/><Relationship Id="rId358" Type="http://schemas.openxmlformats.org/officeDocument/2006/relationships/hyperlink" Target="http://www.westlaw.com/Find/Default.wl?rs=dfa1.0&amp;vr=2.0&amp;DB=176279&amp;FindType=Y&amp;ReferencePositionType=S&amp;SerialNum=0347276215&amp;ReferencePosition=825" TargetMode="External"/><Relationship Id="rId359" Type="http://schemas.openxmlformats.org/officeDocument/2006/relationships/hyperlink" Target="http://www.westlaw.com/Find/Default.wl?rs=dfa1.0&amp;vr=2.0&amp;DB=4637&amp;FindType=Y&amp;ReferencePositionType=S&amp;SerialNum=2011888526&amp;ReferencePosition=315" TargetMode="External"/><Relationship Id="rId410" Type="http://schemas.openxmlformats.org/officeDocument/2006/relationships/hyperlink" Target="http://www.westlaw.com/Find/Default.wl?rs=dfa1.0&amp;vr=2.0&amp;DB=350&amp;FindType=Y&amp;ReferencePositionType=S&amp;SerialNum=1975142395&amp;ReferencePosition=206" TargetMode="External"/><Relationship Id="rId411" Type="http://schemas.openxmlformats.org/officeDocument/2006/relationships/hyperlink" Target="http://www.westlaw.com/Find/Default.wl?rs=dfa1.0&amp;vr=2.0&amp;DB=1000546&amp;DocName=18USCAS2339A&amp;FindType=L" TargetMode="External"/><Relationship Id="rId412" Type="http://schemas.openxmlformats.org/officeDocument/2006/relationships/hyperlink" Target="http://www.westlaw.com/Find/Default.wl?rs=dfa1.0&amp;vr=2.0&amp;DB=1000546&amp;DocName=18USCAS2332&amp;FindType=L" TargetMode="External"/><Relationship Id="rId413" Type="http://schemas.openxmlformats.org/officeDocument/2006/relationships/hyperlink" Target="http://www.westlaw.com/Find/Default.wl?rs=dfa1.0&amp;vr=2.0&amp;DB=1000546&amp;DocName=18USCAS2339A&amp;FindType=L" TargetMode="External"/><Relationship Id="rId414" Type="http://schemas.openxmlformats.org/officeDocument/2006/relationships/hyperlink" Target="http://www.westlaw.com/Find/Default.wl?rs=dfa1.0&amp;vr=2.0&amp;DB=1000546&amp;DocName=18USCAS2339B&amp;FindType=L" TargetMode="External"/><Relationship Id="rId415" Type="http://schemas.openxmlformats.org/officeDocument/2006/relationships/hyperlink" Target="http://www.westlaw.com/Find/Default.wl?rs=dfa1.0&amp;vr=2.0&amp;DB=1000546&amp;DocName=18USCAS2331&amp;FindType=L&amp;ReferencePositionType=T&amp;ReferencePosition=SP_f1c50000821b0" TargetMode="External"/><Relationship Id="rId416" Type="http://schemas.openxmlformats.org/officeDocument/2006/relationships/hyperlink" Target="http://www.westlaw.com/Find/Default.wl?rs=dfa1.0&amp;vr=2.0&amp;DB=1000546&amp;DocName=18USCAS2333&amp;FindType=L&amp;ReferencePositionType=T&amp;ReferencePosition=SP_8b3b0000958a4" TargetMode="External"/><Relationship Id="rId417" Type="http://schemas.openxmlformats.org/officeDocument/2006/relationships/hyperlink" Target="http://www.westlaw.com/Find/Default.wl?rs=dfa1.0&amp;vr=2.0&amp;DB=506&amp;FindType=Y&amp;ReferencePositionType=S&amp;SerialNum=2002350044&amp;ReferencePosition=1013" TargetMode="External"/><Relationship Id="rId418" Type="http://schemas.openxmlformats.org/officeDocument/2006/relationships/hyperlink" Target="http://www.westlaw.com/Find/Default.wl?rs=dfa1.0&amp;vr=2.0&amp;DB=506&amp;FindType=Y&amp;ReferencePositionType=S&amp;SerialNum=2002350044&amp;ReferencePosition=1013" TargetMode="External"/><Relationship Id="rId419" Type="http://schemas.openxmlformats.org/officeDocument/2006/relationships/hyperlink" Target="http://www.westlaw.com/Find/Default.wl?rs=dfa1.0&amp;vr=2.0&amp;DB=1000546&amp;DocName=18USCAS2339A&amp;FindType=L" TargetMode="External"/><Relationship Id="rId130" Type="http://schemas.openxmlformats.org/officeDocument/2006/relationships/hyperlink" Target="http://www.westlaw.com/Find/Default.wl?rs=dfa1.0&amp;vr=2.0&amp;DB=708&amp;FindType=Y&amp;SerialNum=1990157731" TargetMode="External"/><Relationship Id="rId131" Type="http://schemas.openxmlformats.org/officeDocument/2006/relationships/hyperlink" Target="http://www.westlaw.com/Find/Default.wl?rs=dfa1.0&amp;vr=2.0&amp;DB=506&amp;FindType=Y&amp;ReferencePositionType=S&amp;SerialNum=1996205376&amp;ReferencePosition=12" TargetMode="External"/><Relationship Id="rId132" Type="http://schemas.openxmlformats.org/officeDocument/2006/relationships/hyperlink" Target="http://www.westlaw.com/Find/Default.wl?rs=dfa1.0&amp;vr=2.0&amp;DB=506&amp;FindType=Y&amp;ReferencePositionType=S&amp;SerialNum=1996205376&amp;ReferencePosition=12" TargetMode="External"/><Relationship Id="rId133" Type="http://schemas.openxmlformats.org/officeDocument/2006/relationships/hyperlink" Target="http://www.westlaw.com/Find/Default.wl?rs=dfa1.0&amp;vr=2.0&amp;DB=350&amp;FindType=Y&amp;SerialNum=1980133231" TargetMode="External"/><Relationship Id="rId134" Type="http://schemas.openxmlformats.org/officeDocument/2006/relationships/hyperlink" Target="http://www.westlaw.com/Find/Default.wl?rs=dfa1.0&amp;vr=2.0&amp;DB=350&amp;FindType=Y&amp;SerialNum=1980133231" TargetMode="External"/><Relationship Id="rId135" Type="http://schemas.openxmlformats.org/officeDocument/2006/relationships/hyperlink" Target="http://www.westlaw.com/Find/Default.wl?rs=dfa1.0&amp;vr=2.0&amp;DB=350&amp;FindType=Y&amp;ReferencePositionType=S&amp;SerialNum=1991077476&amp;ReferencePosition=783" TargetMode="External"/><Relationship Id="rId90" Type="http://schemas.openxmlformats.org/officeDocument/2006/relationships/hyperlink" Target="http://www.westlaw.com/Find/Default.wl?rs=dfa1.0&amp;vr=2.0&amp;DB=1000546&amp;DocName=18USCAS2332&amp;FindType=L" TargetMode="External"/><Relationship Id="rId91" Type="http://schemas.openxmlformats.org/officeDocument/2006/relationships/hyperlink" Target="http://www.westlaw.com/Find/Default.wl?rs=dfa1.0&amp;vr=2.0&amp;DB=1000546&amp;DocName=18USCAS2338&amp;FindType=L" TargetMode="External"/><Relationship Id="rId92" Type="http://schemas.openxmlformats.org/officeDocument/2006/relationships/hyperlink" Target="http://www.westlaw.com/Find/Default.wl?rs=dfa1.0&amp;vr=2.0&amp;DB=1077005&amp;DocName=UU%28I0376AE4EDA-FE49A797E6A-E2057975F58%29&amp;FindType=l" TargetMode="External"/><Relationship Id="rId93" Type="http://schemas.openxmlformats.org/officeDocument/2006/relationships/hyperlink" Target="http://www.westlaw.com/Find/Default.wl?rs=dfa1.0&amp;vr=2.0&amp;DB=1077005&amp;DocName=UU%28I197F8ECB45-7D49F884ADE-46EC6317A0A%29&amp;FindType=l" TargetMode="External"/><Relationship Id="rId94" Type="http://schemas.openxmlformats.org/officeDocument/2006/relationships/hyperlink" Target="http://www.westlaw.com/Find/Default.wl?rs=dfa1.0&amp;vr=2.0&amp;DB=1077005&amp;DocName=UU%28IB3D738D163-824EA6B4644-A6C126F1D24%29&amp;FindType=l" TargetMode="External"/><Relationship Id="rId95" Type="http://schemas.openxmlformats.org/officeDocument/2006/relationships/hyperlink" Target="http://www.westlaw.com/Find/Default.wl?rs=dfa1.0&amp;vr=2.0&amp;DB=1000546&amp;DocName=18USCAS2332&amp;FindType=L" TargetMode="External"/><Relationship Id="rId96" Type="http://schemas.openxmlformats.org/officeDocument/2006/relationships/hyperlink" Target="http://www.westlaw.com/Find/Default.wl?rs=dfa1.0&amp;vr=2.0&amp;DB=4637&amp;FindType=Y&amp;ReferencePositionType=S&amp;SerialNum=2019898265&amp;ReferencePosition=425" TargetMode="External"/><Relationship Id="rId97" Type="http://schemas.openxmlformats.org/officeDocument/2006/relationships/hyperlink" Target="http://www.westlaw.com/Find/Default.wl?rs=dfa1.0&amp;vr=2.0&amp;DB=4637&amp;FindType=Y&amp;ReferencePositionType=S&amp;SerialNum=2019898265&amp;ReferencePosition=425" TargetMode="External"/><Relationship Id="rId98" Type="http://schemas.openxmlformats.org/officeDocument/2006/relationships/hyperlink" Target="http://www.westlaw.com/Find/Default.wl?rs=dfa1.0&amp;vr=2.0&amp;DB=4637&amp;FindType=Y&amp;SerialNum=2019898265" TargetMode="External"/><Relationship Id="rId99" Type="http://schemas.openxmlformats.org/officeDocument/2006/relationships/hyperlink" Target="http://www.westlaw.com/Find/Default.wl?rs=dfa1.0&amp;vr=2.0&amp;DB=4637&amp;FindType=Y&amp;SerialNum=2019898265" TargetMode="External"/><Relationship Id="rId136" Type="http://schemas.openxmlformats.org/officeDocument/2006/relationships/hyperlink" Target="http://www.westlaw.com/Find/Default.wl?rs=dfa1.0&amp;vr=2.0&amp;DB=350&amp;FindType=Y&amp;ReferencePositionType=S&amp;SerialNum=1991077476&amp;ReferencePosition=783" TargetMode="External"/><Relationship Id="rId137" Type="http://schemas.openxmlformats.org/officeDocument/2006/relationships/hyperlink" Target="http://www.westlaw.com/Find/Default.wl?rs=dfa1.0&amp;vr=2.0&amp;DB=708&amp;FindType=Y&amp;ReferencePositionType=S&amp;SerialNum=1994127017&amp;ReferencePosition=2055" TargetMode="External"/><Relationship Id="rId138" Type="http://schemas.openxmlformats.org/officeDocument/2006/relationships/hyperlink" Target="http://www.westlaw.com/Find/Default.wl?rs=dfa1.0&amp;vr=2.0&amp;DB=708&amp;FindType=Y&amp;ReferencePositionType=S&amp;SerialNum=1994127017&amp;ReferencePosition=2055" TargetMode="External"/><Relationship Id="rId139" Type="http://schemas.openxmlformats.org/officeDocument/2006/relationships/hyperlink" Target="http://www.westlaw.com/Find/Default.wl?rs=dfa1.0&amp;vr=2.0&amp;DB=350&amp;FindType=Y&amp;SerialNum=1991023579" TargetMode="External"/><Relationship Id="rId360" Type="http://schemas.openxmlformats.org/officeDocument/2006/relationships/hyperlink" Target="http://www.westlaw.com/Find/Default.wl?rs=dfa1.0&amp;vr=2.0&amp;DB=4637&amp;FindType=Y&amp;ReferencePositionType=S&amp;SerialNum=2011888526&amp;ReferencePosition=315" TargetMode="External"/><Relationship Id="rId361" Type="http://schemas.openxmlformats.org/officeDocument/2006/relationships/hyperlink" Target="http://www.westlaw.com/Find/Default.wl?rs=dfa1.0&amp;vr=2.0&amp;DB=0000999&amp;FindType=Y&amp;SerialNum=2003461655" TargetMode="External"/><Relationship Id="rId362" Type="http://schemas.openxmlformats.org/officeDocument/2006/relationships/hyperlink" Target="http://www.westlaw.com/Find/Default.wl?rs=dfa1.0&amp;vr=2.0&amp;DB=0000999&amp;FindType=Y&amp;SerialNum=2003461655" TargetMode="External"/><Relationship Id="rId363" Type="http://schemas.openxmlformats.org/officeDocument/2006/relationships/hyperlink" Target="http://www.westlaw.com/Find/Default.wl?rs=dfa1.0&amp;vr=2.0&amp;DB=0000999&amp;FindType=Y&amp;SerialNum=2018968984" TargetMode="External"/><Relationship Id="rId364" Type="http://schemas.openxmlformats.org/officeDocument/2006/relationships/hyperlink" Target="http://www.westlaw.com/Find/Default.wl?rs=dfa1.0&amp;vr=2.0&amp;DB=0000999&amp;FindType=Y&amp;SerialNum=2018968984" TargetMode="External"/><Relationship Id="rId365" Type="http://schemas.openxmlformats.org/officeDocument/2006/relationships/hyperlink" Target="http://www.westlaw.com/Find/Default.wl?rs=dfa1.0&amp;vr=2.0&amp;DB=4637&amp;FindType=Y&amp;ReferencePositionType=S&amp;SerialNum=2019898265&amp;ReferencePosition=431" TargetMode="External"/><Relationship Id="rId366" Type="http://schemas.openxmlformats.org/officeDocument/2006/relationships/hyperlink" Target="http://www.westlaw.com/Find/Default.wl?rs=dfa1.0&amp;vr=2.0&amp;DB=4637&amp;FindType=Y&amp;ReferencePositionType=S&amp;SerialNum=2019898265&amp;ReferencePosition=431" TargetMode="External"/><Relationship Id="rId367" Type="http://schemas.openxmlformats.org/officeDocument/2006/relationships/hyperlink" Target="http://www.westlaw.com/Find/Default.wl?rs=dfa1.0&amp;vr=2.0&amp;DB=506&amp;FindType=Y&amp;ReferencePositionType=S&amp;SerialNum=2003268981&amp;ReferencePosition=111" TargetMode="External"/><Relationship Id="rId368" Type="http://schemas.openxmlformats.org/officeDocument/2006/relationships/hyperlink" Target="http://www.westlaw.com/Find/Default.wl?rs=dfa1.0&amp;vr=2.0&amp;DB=506&amp;FindType=Y&amp;ReferencePositionType=S&amp;SerialNum=2003268981&amp;ReferencePosition=111" TargetMode="External"/><Relationship Id="rId369" Type="http://schemas.openxmlformats.org/officeDocument/2006/relationships/hyperlink" Target="http://www.westlaw.com/Find/Default.wl?rs=dfa1.0&amp;vr=2.0&amp;DB=4637&amp;FindType=Y&amp;ReferencePositionType=S&amp;SerialNum=2020923859&amp;ReferencePosition=441" TargetMode="External"/><Relationship Id="rId420" Type="http://schemas.openxmlformats.org/officeDocument/2006/relationships/hyperlink" Target="http://www.westlaw.com/Find/Default.wl?rs=dfa1.0&amp;vr=2.0&amp;DB=1000546&amp;DocName=18USCAS2339B&amp;FindType=L" TargetMode="External"/><Relationship Id="rId421" Type="http://schemas.openxmlformats.org/officeDocument/2006/relationships/hyperlink" Target="http://www.westlaw.com/Find/Default.wl?rs=dfa1.0&amp;vr=2.0&amp;DB=1000546&amp;DocName=18USCAS2333&amp;FindType=L" TargetMode="External"/><Relationship Id="rId422" Type="http://schemas.openxmlformats.org/officeDocument/2006/relationships/hyperlink" Target="http://www.westlaw.com/Find/Default.wl?rs=dfa1.0&amp;vr=2.0&amp;DB=506&amp;FindType=Y&amp;ReferencePositionType=S&amp;SerialNum=2017570303&amp;ReferencePosition=700" TargetMode="External"/><Relationship Id="rId423" Type="http://schemas.openxmlformats.org/officeDocument/2006/relationships/hyperlink" Target="http://www.westlaw.com/Find/Default.wl?rs=dfa1.0&amp;vr=2.0&amp;DB=506&amp;FindType=Y&amp;ReferencePositionType=S&amp;SerialNum=2017570303&amp;ReferencePosition=700" TargetMode="External"/><Relationship Id="rId424" Type="http://schemas.openxmlformats.org/officeDocument/2006/relationships/hyperlink" Target="http://www.westlaw.com/Find/Default.wl?rs=dfa1.0&amp;vr=2.0&amp;DB=1000546&amp;DocName=18USCAS2331&amp;FindType=L&amp;ReferencePositionType=T&amp;ReferencePosition=SP_f1c50000821b0" TargetMode="External"/><Relationship Id="rId425" Type="http://schemas.openxmlformats.org/officeDocument/2006/relationships/hyperlink" Target="http://www.westlaw.com/Find/Default.wl?rs=dfa1.0&amp;vr=2.0&amp;DB=0000999&amp;FindType=Y&amp;SerialNum=2010432542" TargetMode="External"/><Relationship Id="rId426" Type="http://schemas.openxmlformats.org/officeDocument/2006/relationships/hyperlink" Target="http://www.westlaw.com/Find/Default.wl?rs=dfa1.0&amp;vr=2.0&amp;DB=0000999&amp;FindType=Y&amp;SerialNum=2010432542" TargetMode="External"/><Relationship Id="rId427" Type="http://schemas.openxmlformats.org/officeDocument/2006/relationships/hyperlink" Target="http://www.westlaw.com/Find/Default.wl?rs=dfa1.0&amp;vr=2.0&amp;DB=1000546&amp;DocName=18USCAS2339B&amp;FindType=L" TargetMode="External"/><Relationship Id="rId428" Type="http://schemas.openxmlformats.org/officeDocument/2006/relationships/hyperlink" Target="http://www.westlaw.com/Find/Default.wl?rs=dfa1.0&amp;vr=2.0&amp;DB=1000546&amp;DocName=18USCAS2339C&amp;FindType=L" TargetMode="External"/><Relationship Id="rId429" Type="http://schemas.openxmlformats.org/officeDocument/2006/relationships/hyperlink" Target="http://www.westlaw.com/Find/Default.wl?rs=dfa1.0&amp;vr=2.0&amp;DB=1000546&amp;DocName=18USCAS2333&amp;FindType=L&amp;ReferencePositionType=T&amp;ReferencePosition=SP_8b3b0000958a4" TargetMode="External"/><Relationship Id="rId140" Type="http://schemas.openxmlformats.org/officeDocument/2006/relationships/hyperlink" Target="http://www.westlaw.com/Find/Default.wl?rs=dfa1.0&amp;vr=2.0&amp;DB=350&amp;FindType=Y&amp;SerialNum=1991023579" TargetMode="External"/><Relationship Id="rId141" Type="http://schemas.openxmlformats.org/officeDocument/2006/relationships/hyperlink" Target="http://www.westlaw.com/Find/Default.wl?rs=dfa1.0&amp;vr=2.0&amp;DB=1000546&amp;DocName=18USCAS2333&amp;FindType=L&amp;ReferencePositionType=T&amp;ReferencePosition=SP_8b3b0000958a4" TargetMode="External"/><Relationship Id="rId142" Type="http://schemas.openxmlformats.org/officeDocument/2006/relationships/hyperlink" Target="http://www.westlaw.com/Find/Default.wl?rs=dfa1.0&amp;vr=2.0&amp;DB=1000546&amp;DocName=18USCAS2334&amp;FindType=L&amp;ReferencePositionType=T&amp;ReferencePosition=SP_5ba1000067d06" TargetMode="External"/><Relationship Id="rId143" Type="http://schemas.openxmlformats.org/officeDocument/2006/relationships/hyperlink" Target="http://www.westlaw.com/Find/Default.wl?rs=dfa1.0&amp;vr=2.0&amp;DB=4637&amp;FindType=Y&amp;ReferencePositionType=S&amp;SerialNum=2004092309&amp;ReferencePosition=267" TargetMode="External"/><Relationship Id="rId144" Type="http://schemas.openxmlformats.org/officeDocument/2006/relationships/hyperlink" Target="http://www.westlaw.com/Find/Default.wl?rs=dfa1.0&amp;vr=2.0&amp;DB=4637&amp;FindType=Y&amp;ReferencePositionType=S&amp;SerialNum=2004092309&amp;ReferencePosition=267" TargetMode="External"/><Relationship Id="rId145" Type="http://schemas.openxmlformats.org/officeDocument/2006/relationships/hyperlink" Target="http://www.westlaw.com/Find/Default.wl?rs=dfa1.0&amp;vr=2.0&amp;DB=506&amp;FindType=Y&amp;ReferencePositionType=S&amp;SerialNum=2001227607&amp;ReferencePosition=607" TargetMode="External"/><Relationship Id="rId146" Type="http://schemas.openxmlformats.org/officeDocument/2006/relationships/hyperlink" Target="http://www.westlaw.com/Find/Default.wl?rs=dfa1.0&amp;vr=2.0&amp;DB=506&amp;FindType=Y&amp;ReferencePositionType=S&amp;SerialNum=2001227607&amp;ReferencePosition=607" TargetMode="External"/><Relationship Id="rId147" Type="http://schemas.openxmlformats.org/officeDocument/2006/relationships/hyperlink" Target="http://www.westlaw.com/Find/Default.wl?rs=dfa1.0&amp;vr=2.0&amp;DB=345&amp;FindType=Y&amp;ReferencePositionType=S&amp;SerialNum=1995130271&amp;ReferencePosition=729" TargetMode="External"/><Relationship Id="rId148" Type="http://schemas.openxmlformats.org/officeDocument/2006/relationships/hyperlink" Target="http://www.westlaw.com/Find/Default.wl?rs=dfa1.0&amp;vr=2.0&amp;DB=345&amp;FindType=Y&amp;ReferencePositionType=S&amp;SerialNum=1995130271&amp;ReferencePosition=729" TargetMode="External"/><Relationship Id="rId149" Type="http://schemas.openxmlformats.org/officeDocument/2006/relationships/hyperlink" Target="http://www.westlaw.com/Find/Default.wl?rs=dfa1.0&amp;vr=2.0&amp;DB=578&amp;FindType=Y&amp;SerialNum=1968126803" TargetMode="External"/><Relationship Id="rId200" Type="http://schemas.openxmlformats.org/officeDocument/2006/relationships/hyperlink" Target="http://www.westlaw.com/Find/Default.wl?rs=dfa1.0&amp;vr=2.0&amp;DB=0000999&amp;FindType=Y&amp;SerialNum=2011959275" TargetMode="External"/><Relationship Id="rId201" Type="http://schemas.openxmlformats.org/officeDocument/2006/relationships/hyperlink" Target="http://www.westlaw.com/Find/Default.wl?rs=dfa1.0&amp;vr=2.0&amp;DB=1000546&amp;DocName=18USCAS2334&amp;FindType=L&amp;ReferencePositionType=T&amp;ReferencePosition=SP_17df000040924" TargetMode="External"/><Relationship Id="rId202" Type="http://schemas.openxmlformats.org/officeDocument/2006/relationships/hyperlink" Target="http://www.westlaw.com/Find/Default.wl?rs=dfa1.0&amp;vr=2.0&amp;DB=1000546&amp;DocName=18USCAS2334&amp;FindType=L&amp;ReferencePositionType=T&amp;ReferencePosition=SP_17df000040924" TargetMode="External"/><Relationship Id="rId203" Type="http://schemas.openxmlformats.org/officeDocument/2006/relationships/hyperlink" Target="http://www.westlaw.com/Find/Default.wl?rs=dfa1.0&amp;vr=2.0&amp;DB=1000546&amp;DocName=18USCAS2333&amp;FindType=L" TargetMode="External"/><Relationship Id="rId204" Type="http://schemas.openxmlformats.org/officeDocument/2006/relationships/hyperlink" Target="http://www.westlaw.com/Find/Default.wl?rs=dfa1.0&amp;vr=2.0&amp;DB=1000546&amp;DocName=18USCAS2334&amp;FindType=L&amp;ReferencePositionType=T&amp;ReferencePosition=SP_17df000040924" TargetMode="External"/><Relationship Id="rId205" Type="http://schemas.openxmlformats.org/officeDocument/2006/relationships/hyperlink" Target="http://www.westlaw.com/Find/Default.wl?rs=dfa1.0&amp;vr=2.0&amp;DB=4637&amp;FindType=Y&amp;ReferencePositionType=S&amp;SerialNum=2019898265&amp;ReferencePosition=423" TargetMode="External"/><Relationship Id="rId206" Type="http://schemas.openxmlformats.org/officeDocument/2006/relationships/hyperlink" Target="http://www.westlaw.com/Find/Default.wl?rs=dfa1.0&amp;vr=2.0&amp;DB=1000546&amp;DocName=18USCAS2334&amp;FindType=L&amp;ReferencePositionType=T&amp;ReferencePosition=SP_17df000040924" TargetMode="External"/><Relationship Id="rId207" Type="http://schemas.openxmlformats.org/officeDocument/2006/relationships/hyperlink" Target="http://www.westlaw.com/Find/Default.wl?rs=dfa1.0&amp;vr=2.0&amp;DB=4637&amp;FindType=Y&amp;ReferencePositionType=S&amp;SerialNum=2019898265&amp;ReferencePosition=420" TargetMode="External"/><Relationship Id="rId208" Type="http://schemas.openxmlformats.org/officeDocument/2006/relationships/hyperlink" Target="http://www.westlaw.com/Find/Default.wl?rs=dfa1.0&amp;vr=2.0&amp;DB=506&amp;FindType=Y&amp;ReferencePositionType=S&amp;SerialNum=2003338439&amp;ReferencePosition=70" TargetMode="External"/><Relationship Id="rId209" Type="http://schemas.openxmlformats.org/officeDocument/2006/relationships/hyperlink" Target="http://www.westlaw.com/Find/Default.wl?rs=dfa1.0&amp;vr=2.0&amp;DB=506&amp;FindType=Y&amp;ReferencePositionType=S&amp;SerialNum=2003338439&amp;ReferencePosition=70" TargetMode="External"/><Relationship Id="rId370" Type="http://schemas.openxmlformats.org/officeDocument/2006/relationships/hyperlink" Target="http://www.westlaw.com/Find/Default.wl?rs=dfa1.0&amp;vr=2.0&amp;DB=4637&amp;FindType=Y&amp;ReferencePositionType=S&amp;SerialNum=2020923859&amp;ReferencePosition=441" TargetMode="External"/><Relationship Id="rId371" Type="http://schemas.openxmlformats.org/officeDocument/2006/relationships/hyperlink" Target="http://www.westlaw.com/Find/Default.wl?rs=dfa1.0&amp;vr=2.0&amp;DB=506&amp;FindType=Y&amp;ReferencePositionType=S&amp;SerialNum=1998116062&amp;ReferencePosition=1257" TargetMode="External"/><Relationship Id="rId372" Type="http://schemas.openxmlformats.org/officeDocument/2006/relationships/hyperlink" Target="http://www.westlaw.com/Find/Default.wl?rs=dfa1.0&amp;vr=2.0&amp;DB=506&amp;FindType=Y&amp;ReferencePositionType=S&amp;SerialNum=1998116062&amp;ReferencePosition=1257" TargetMode="External"/><Relationship Id="rId373" Type="http://schemas.openxmlformats.org/officeDocument/2006/relationships/hyperlink" Target="http://www.westlaw.com/Find/Default.wl?rs=dfa1.0&amp;vr=2.0&amp;DB=1000546&amp;DocName=18USCAS2339B&amp;FindType=L" TargetMode="External"/><Relationship Id="rId374" Type="http://schemas.openxmlformats.org/officeDocument/2006/relationships/hyperlink" Target="http://www.westlaw.com/Find/Default.wl?rs=dfa1.0&amp;vr=2.0&amp;DB=1000546&amp;DocName=18USCAS2339C&amp;FindType=L" TargetMode="External"/><Relationship Id="rId375" Type="http://schemas.openxmlformats.org/officeDocument/2006/relationships/hyperlink" Target="http://www.westlaw.com/Find/Default.wl?rs=dfa1.0&amp;vr=2.0&amp;DB=1000546&amp;DocName=18USCAS2331&amp;FindType=L&amp;ReferencePositionType=T&amp;ReferencePosition=SP_f1c50000821b0" TargetMode="External"/><Relationship Id="rId376" Type="http://schemas.openxmlformats.org/officeDocument/2006/relationships/hyperlink" Target="http://www.westlaw.com/Find/Default.wl?rs=dfa1.0&amp;vr=2.0&amp;DB=1000546&amp;DocName=18USCAS2333&amp;FindType=L&amp;ReferencePositionType=T&amp;ReferencePosition=SP_8b3b0000958a4" TargetMode="External"/><Relationship Id="rId377" Type="http://schemas.openxmlformats.org/officeDocument/2006/relationships/hyperlink" Target="http://www.westlaw.com/Find/Default.wl?rs=dfa1.0&amp;vr=2.0&amp;DB=1000546&amp;DocName=18USCAS2339B&amp;FindType=L" TargetMode="External"/><Relationship Id="rId378" Type="http://schemas.openxmlformats.org/officeDocument/2006/relationships/hyperlink" Target="http://www.westlaw.com/Find/Default.wl?rs=dfa1.0&amp;vr=2.0&amp;DB=1000546&amp;DocName=18USCAS2339C&amp;FindType=L" TargetMode="External"/><Relationship Id="rId379" Type="http://schemas.openxmlformats.org/officeDocument/2006/relationships/hyperlink" Target="http://www.westlaw.com/Find/Default.wl?rs=dfa1.0&amp;vr=2.0&amp;DB=1000546&amp;DocName=18USCAS2333&amp;FindType=L&amp;ReferencePositionType=T&amp;ReferencePosition=SP_8b3b0000958a4" TargetMode="External"/><Relationship Id="rId430" Type="http://schemas.openxmlformats.org/officeDocument/2006/relationships/hyperlink" Target="http://www.westlaw.com/Find/Default.wl?rs=dfa1.0&amp;vr=2.0&amp;DB=4637&amp;FindType=Y&amp;ReferencePositionType=S&amp;SerialNum=2010388315&amp;ReferencePosition=613" TargetMode="External"/><Relationship Id="rId431" Type="http://schemas.openxmlformats.org/officeDocument/2006/relationships/hyperlink" Target="http://www.westlaw.com/Find/Default.wl?rs=dfa1.0&amp;vr=2.0&amp;DB=4637&amp;FindType=Y&amp;ReferencePositionType=S&amp;SerialNum=2010388315&amp;ReferencePosition=613" TargetMode="External"/><Relationship Id="rId432" Type="http://schemas.openxmlformats.org/officeDocument/2006/relationships/hyperlink" Target="http://www.westlaw.com/Find/Default.wl?rs=dfa1.0&amp;vr=2.0&amp;DB=4637&amp;FindType=Y&amp;ReferencePositionType=S&amp;SerialNum=2011313900&amp;ReferencePosition=268" TargetMode="External"/><Relationship Id="rId433" Type="http://schemas.openxmlformats.org/officeDocument/2006/relationships/hyperlink" Target="http://www.westlaw.com/Find/Default.wl?rs=dfa1.0&amp;vr=2.0&amp;DB=4637&amp;FindType=Y&amp;ReferencePositionType=S&amp;SerialNum=2011313900&amp;ReferencePosition=268" TargetMode="External"/><Relationship Id="rId434" Type="http://schemas.openxmlformats.org/officeDocument/2006/relationships/hyperlink" Target="http://www.westlaw.com/Find/Default.wl?rs=dfa1.0&amp;vr=2.0&amp;DB=1000546&amp;DocName=18USCAS2339A&amp;FindType=L" TargetMode="External"/><Relationship Id="rId435" Type="http://schemas.openxmlformats.org/officeDocument/2006/relationships/hyperlink" Target="http://www.westlaw.com/Find/Default.wl?rs=dfa1.0&amp;vr=2.0&amp;DB=1000546&amp;DocName=18USCAS2339B&amp;FindType=L&amp;ReferencePositionType=T&amp;ReferencePosition=SP_7b9b000044381" TargetMode="External"/><Relationship Id="rId436" Type="http://schemas.openxmlformats.org/officeDocument/2006/relationships/hyperlink" Target="http://www.westlaw.com/Find/Default.wl?rs=dfa1.0&amp;vr=2.0&amp;DB=1000546&amp;DocName=18USCAS2339C&amp;FindType=L" TargetMode="External"/><Relationship Id="rId437" Type="http://schemas.openxmlformats.org/officeDocument/2006/relationships/hyperlink" Target="http://www.westlaw.com/Find/Default.wl?rs=dfa1.0&amp;vr=2.0&amp;DB=106&amp;FindType=Y&amp;SerialNum=2004564524" TargetMode="External"/><Relationship Id="rId438" Type="http://schemas.openxmlformats.org/officeDocument/2006/relationships/hyperlink" Target="http://www.westlaw.com/Find/Default.wl?rs=dfa1.0&amp;vr=2.0&amp;DB=106&amp;FindType=Y&amp;SerialNum=2004564524" TargetMode="External"/><Relationship Id="rId439" Type="http://schemas.openxmlformats.org/officeDocument/2006/relationships/hyperlink" Target="http://www.westlaw.com/Find/Default.wl?rs=dfa1.0&amp;vr=2.0&amp;FindType=Y&amp;SerialNum=2002350044" TargetMode="External"/><Relationship Id="rId150" Type="http://schemas.openxmlformats.org/officeDocument/2006/relationships/hyperlink" Target="http://www.westlaw.com/Find/Default.wl?rs=dfa1.0&amp;vr=2.0&amp;DB=578&amp;FindType=Y&amp;SerialNum=1968126803" TargetMode="External"/><Relationship Id="rId151" Type="http://schemas.openxmlformats.org/officeDocument/2006/relationships/hyperlink" Target="http://www.westlaw.com/Find/Default.wl?rs=dfa1.0&amp;vr=2.0&amp;DB=4637&amp;FindType=Y&amp;SerialNum=2009642178" TargetMode="External"/><Relationship Id="rId152" Type="http://schemas.openxmlformats.org/officeDocument/2006/relationships/hyperlink" Target="http://www.westlaw.com/Find/Default.wl?rs=dfa1.0&amp;vr=2.0&amp;DB=4637&amp;FindType=Y&amp;SerialNum=2009642178" TargetMode="External"/><Relationship Id="rId153" Type="http://schemas.openxmlformats.org/officeDocument/2006/relationships/hyperlink" Target="http://www.westlaw.com/Find/Default.wl?rs=dfa1.0&amp;vr=2.0&amp;DB=0000999&amp;FindType=Y&amp;SerialNum=2010423827" TargetMode="External"/><Relationship Id="rId154" Type="http://schemas.openxmlformats.org/officeDocument/2006/relationships/hyperlink" Target="http://www.westlaw.com/Find/Default.wl?rs=dfa1.0&amp;vr=2.0&amp;DB=0000999&amp;FindType=Y&amp;SerialNum=2010423827" TargetMode="External"/><Relationship Id="rId155" Type="http://schemas.openxmlformats.org/officeDocument/2006/relationships/hyperlink" Target="http://www.westlaw.com/Find/Default.wl?rs=dfa1.0&amp;vr=2.0&amp;DB=0000999&amp;FindType=Y&amp;SerialNum=2017279794" TargetMode="External"/><Relationship Id="rId156" Type="http://schemas.openxmlformats.org/officeDocument/2006/relationships/hyperlink" Target="http://www.westlaw.com/Find/Default.wl?rs=dfa1.0&amp;vr=2.0&amp;DB=0000999&amp;FindType=Y&amp;SerialNum=2017279794" TargetMode="External"/><Relationship Id="rId157" Type="http://schemas.openxmlformats.org/officeDocument/2006/relationships/hyperlink" Target="http://www.westlaw.com/Find/Default.wl?rs=dfa1.0&amp;vr=2.0&amp;DB=344&amp;FindType=Y&amp;ReferencePositionType=S&amp;SerialNum=2016514633&amp;ReferencePosition=137" TargetMode="External"/><Relationship Id="rId158" Type="http://schemas.openxmlformats.org/officeDocument/2006/relationships/hyperlink" Target="http://www.westlaw.com/Find/Default.wl?rs=dfa1.0&amp;vr=2.0&amp;DB=344&amp;FindType=Y&amp;ReferencePositionType=S&amp;SerialNum=2016514633&amp;ReferencePosition=137" TargetMode="External"/><Relationship Id="rId159" Type="http://schemas.openxmlformats.org/officeDocument/2006/relationships/hyperlink" Target="http://www.westlaw.com/Find/Default.wl?rs=dfa1.0&amp;vr=2.0&amp;DB=708&amp;FindType=Y&amp;ReferencePositionType=S&amp;SerialNum=2003915490&amp;ReferencePosition=794" TargetMode="External"/><Relationship Id="rId210" Type="http://schemas.openxmlformats.org/officeDocument/2006/relationships/hyperlink" Target="http://www.westlaw.com/Find/Default.wl?rs=dfa1.0&amp;vr=2.0&amp;DB=708&amp;FindType=Y&amp;SerialNum=1947115351" TargetMode="External"/><Relationship Id="rId211" Type="http://schemas.openxmlformats.org/officeDocument/2006/relationships/hyperlink" Target="http://www.westlaw.com/Find/Default.wl?rs=dfa1.0&amp;vr=2.0&amp;DB=708&amp;FindType=Y&amp;SerialNum=1947115351" TargetMode="External"/><Relationship Id="rId212" Type="http://schemas.openxmlformats.org/officeDocument/2006/relationships/hyperlink" Target="http://www.westlaw.com/Find/Default.wl?rs=dfa1.0&amp;vr=2.0&amp;DB=506&amp;FindType=Y&amp;ReferencePositionType=S&amp;SerialNum=2003338439&amp;ReferencePosition=73" TargetMode="External"/><Relationship Id="rId213" Type="http://schemas.openxmlformats.org/officeDocument/2006/relationships/hyperlink" Target="http://www.westlaw.com/Find/Default.wl?rs=dfa1.0&amp;vr=2.0&amp;DB=506&amp;FindType=Y&amp;ReferencePositionType=S&amp;SerialNum=2003338439&amp;ReferencePosition=73" TargetMode="External"/><Relationship Id="rId214" Type="http://schemas.openxmlformats.org/officeDocument/2006/relationships/hyperlink" Target="http://www.westlaw.com/Find/Default.wl?rs=dfa1.0&amp;vr=2.0&amp;DB=506&amp;FindType=Y&amp;ReferencePositionType=S&amp;SerialNum=2001510254&amp;ReferencePosition=73" TargetMode="External"/><Relationship Id="rId215" Type="http://schemas.openxmlformats.org/officeDocument/2006/relationships/hyperlink" Target="http://www.westlaw.com/Find/Default.wl?rs=dfa1.0&amp;vr=2.0&amp;DB=506&amp;FindType=Y&amp;ReferencePositionType=S&amp;SerialNum=2001510254&amp;ReferencePosition=73" TargetMode="External"/><Relationship Id="rId216" Type="http://schemas.openxmlformats.org/officeDocument/2006/relationships/hyperlink" Target="http://www.westlaw.com/Find/Default.wl?rs=dfa1.0&amp;vr=2.0&amp;FindType=Y&amp;SerialNum=1947115351" TargetMode="External"/><Relationship Id="rId217" Type="http://schemas.openxmlformats.org/officeDocument/2006/relationships/hyperlink" Target="http://www.westlaw.com/Find/Default.wl?rs=dfa1.0&amp;vr=2.0&amp;DB=1000546&amp;DocName=28USCAS1292&amp;FindType=L&amp;ReferencePositionType=T&amp;ReferencePosition=SP_a83b000018c76" TargetMode="External"/><Relationship Id="rId218" Type="http://schemas.openxmlformats.org/officeDocument/2006/relationships/hyperlink" Target="http://www.westlaw.com/Find/Default.wl?rs=dfa1.0&amp;vr=2.0&amp;DB=0000999&amp;FindType=Y&amp;SerialNum=2010359833" TargetMode="External"/><Relationship Id="rId219" Type="http://schemas.openxmlformats.org/officeDocument/2006/relationships/hyperlink" Target="http://www.westlaw.com/Find/Default.wl?rs=dfa1.0&amp;vr=2.0&amp;DB=0000999&amp;FindType=Y&amp;SerialNum=2010359833" TargetMode="External"/><Relationship Id="rId380" Type="http://schemas.openxmlformats.org/officeDocument/2006/relationships/hyperlink" Target="http://www.westlaw.com/Find/Default.wl?rs=dfa1.0&amp;vr=2.0&amp;DB=1000546&amp;DocName=18USCAS2331&amp;FindType=L&amp;ReferencePositionType=T&amp;ReferencePosition=SP_f1c50000821b0" TargetMode="External"/><Relationship Id="rId381" Type="http://schemas.openxmlformats.org/officeDocument/2006/relationships/hyperlink" Target="http://www.westlaw.com/Find/Default.wl?rs=dfa1.0&amp;vr=2.0&amp;DB=1000546&amp;DocName=18USCAS2339B&amp;FindType=L" TargetMode="External"/><Relationship Id="rId382" Type="http://schemas.openxmlformats.org/officeDocument/2006/relationships/hyperlink" Target="http://www.westlaw.com/Find/Default.wl?rs=dfa1.0&amp;vr=2.0&amp;DB=1000546&amp;DocName=18USCAS2339C&amp;FindType=L" TargetMode="External"/><Relationship Id="rId383" Type="http://schemas.openxmlformats.org/officeDocument/2006/relationships/hyperlink" Target="http://www.westlaw.com/Find/Default.wl?rs=dfa1.0&amp;vr=2.0&amp;DB=1000546&amp;DocName=18USCAS2331&amp;FindType=L&amp;ReferencePositionType=T&amp;ReferencePosition=SP_d5a000005aa25" TargetMode="External"/><Relationship Id="rId384" Type="http://schemas.openxmlformats.org/officeDocument/2006/relationships/hyperlink" Target="http://www.westlaw.com/Find/Default.wl?rs=dfa1.0&amp;vr=2.0&amp;DB=1000546&amp;DocName=18USCAS2339B&amp;FindType=L" TargetMode="External"/><Relationship Id="rId385" Type="http://schemas.openxmlformats.org/officeDocument/2006/relationships/hyperlink" Target="http://www.westlaw.com/Find/Default.wl?rs=dfa1.0&amp;vr=2.0&amp;DB=1000546&amp;DocName=18USCAS2339C&amp;FindType=L" TargetMode="External"/><Relationship Id="rId386" Type="http://schemas.openxmlformats.org/officeDocument/2006/relationships/hyperlink" Target="http://www.westlaw.com/Find/Default.wl?rs=dfa1.0&amp;vr=2.0&amp;FindType=Y&amp;SerialNum=2002350044" TargetMode="External"/><Relationship Id="rId387" Type="http://schemas.openxmlformats.org/officeDocument/2006/relationships/hyperlink" Target="http://www.westlaw.com/Find/Default.wl?rs=dfa1.0&amp;vr=2.0&amp;DB=1000546&amp;DocName=18USCAS2333&amp;FindType=L" TargetMode="External"/><Relationship Id="rId388" Type="http://schemas.openxmlformats.org/officeDocument/2006/relationships/hyperlink" Target="http://www.westlaw.com/Find/Default.wl?rs=dfa1.0&amp;vr=2.0&amp;DB=1000546&amp;DocName=18USCAS2339A&amp;FindType=L" TargetMode="External"/><Relationship Id="rId389" Type="http://schemas.openxmlformats.org/officeDocument/2006/relationships/hyperlink" Target="http://www.westlaw.com/Find/Default.wl?rs=dfa1.0&amp;vr=2.0&amp;DB=1000546&amp;DocName=18USCAS2339B&amp;FindType=L" TargetMode="External"/><Relationship Id="rId440" Type="http://schemas.openxmlformats.org/officeDocument/2006/relationships/hyperlink" Target="http://www.westlaw.com/Find/Default.wl?rs=dfa1.0&amp;vr=2.0&amp;DB=1000546&amp;DocName=18USCAS2339A&amp;FindType=L" TargetMode="External"/><Relationship Id="rId441" Type="http://schemas.openxmlformats.org/officeDocument/2006/relationships/hyperlink" Target="http://www.westlaw.com/Find/Default.wl?rs=dfa1.0&amp;vr=2.0&amp;DB=1000546&amp;DocName=18USCAS2339B&amp;FindType=L" TargetMode="External"/><Relationship Id="rId442" Type="http://schemas.openxmlformats.org/officeDocument/2006/relationships/hyperlink" Target="http://www.westlaw.com/Find/Default.wl?rs=dfa1.0&amp;vr=2.0&amp;DB=1000546&amp;DocName=18USCAS2333&amp;FindType=L&amp;ReferencePositionType=T&amp;ReferencePosition=SP_8b3b0000958a4" TargetMode="External"/><Relationship Id="rId443" Type="http://schemas.openxmlformats.org/officeDocument/2006/relationships/hyperlink" Target="http://www.westlaw.com/Find/Default.wl?rs=dfa1.0&amp;vr=2.0&amp;DB=186241&amp;FindType=Y&amp;ReferencePositionType=S&amp;SerialNum=0342555608&amp;ReferencePosition=335" TargetMode="External"/><Relationship Id="rId444" Type="http://schemas.openxmlformats.org/officeDocument/2006/relationships/hyperlink" Target="http://www.westlaw.com/Find/Default.wl?rs=dfa1.0&amp;vr=2.0&amp;DB=186241&amp;FindType=Y&amp;ReferencePositionType=S&amp;SerialNum=0342555608&amp;ReferencePosition=335" TargetMode="External"/><Relationship Id="rId445" Type="http://schemas.openxmlformats.org/officeDocument/2006/relationships/hyperlink" Target="http://www.westlaw.com/Find/Default.wl?rs=dfa1.0&amp;vr=2.0&amp;DB=1000546&amp;DocName=18USCAS2339A&amp;FindType=L" TargetMode="External"/><Relationship Id="rId446" Type="http://schemas.openxmlformats.org/officeDocument/2006/relationships/hyperlink" Target="http://www.westlaw.com/Find/Default.wl?rs=dfa1.0&amp;vr=2.0&amp;DB=1000546&amp;DocName=FSGS3A1.4&amp;FindType=L" TargetMode="External"/><Relationship Id="rId447" Type="http://schemas.openxmlformats.org/officeDocument/2006/relationships/hyperlink" Target="http://www.westlaw.com/Find/Default.wl?rs=dfa1.0&amp;vr=2.0&amp;DB=1000546&amp;DocName=8USCAS1182&amp;FindType=L" TargetMode="External"/><Relationship Id="rId448" Type="http://schemas.openxmlformats.org/officeDocument/2006/relationships/hyperlink" Target="http://www.westlaw.com/Find/Default.wl?rs=dfa1.0&amp;vr=2.0&amp;DB=1000546&amp;DocName=8USCAS1189&amp;FindType=L" TargetMode="External"/><Relationship Id="rId449" Type="http://schemas.openxmlformats.org/officeDocument/2006/relationships/hyperlink" Target="http://www.westlaw.com/Find/Default.wl?rs=dfa1.0&amp;vr=2.0&amp;DB=1000546&amp;DocName=8USCAS1182&amp;FindType=L&amp;ReferencePositionType=T&amp;ReferencePosition=SP_27d200007c2a1" TargetMode="External"/><Relationship Id="rId10" Type="http://schemas.openxmlformats.org/officeDocument/2006/relationships/image" Target="media/image1.png"/><Relationship Id="rId11" Type="http://schemas.openxmlformats.org/officeDocument/2006/relationships/hyperlink" Target="http://www.westlaw.com/KeyNumber/Default.wl?rs=dfa1.0&amp;vr=2.0&amp;CMD=KEY&amp;DocName=170A" TargetMode="External"/><Relationship Id="rId12" Type="http://schemas.openxmlformats.org/officeDocument/2006/relationships/hyperlink" Target="http://www.westlaw.com/KeyNumber/Default.wl?rs=dfa1.0&amp;vr=2.0&amp;CMD=KEY&amp;DocName=170AXI" TargetMode="External"/><Relationship Id="rId13" Type="http://schemas.openxmlformats.org/officeDocument/2006/relationships/hyperlink" Target="http://www.westlaw.com/KeyNumber/Default.wl?rs=dfa1.0&amp;vr=2.0&amp;CMD=KEY&amp;DocName=170AXI%28B%29" TargetMode="External"/><Relationship Id="rId14" Type="http://schemas.openxmlformats.org/officeDocument/2006/relationships/hyperlink" Target="http://www.westlaw.com/KeyNumber/Default.wl?rs=dfa1.0&amp;vr=2.0&amp;CMD=KEY&amp;DocName=170AXI%28B%295" TargetMode="External"/><Relationship Id="rId15" Type="http://schemas.openxmlformats.org/officeDocument/2006/relationships/hyperlink" Target="http://www.westlaw.com/KeyNumber/Default.wl?rs=dfa1.0&amp;vr=2.0&amp;CMD=KEY&amp;DocName=170Ak1839" TargetMode="External"/><Relationship Id="rId16" Type="http://schemas.openxmlformats.org/officeDocument/2006/relationships/hyperlink" Target="http://www.westlaw.com/KeyNumber/Default.wl?rs=dfa1.0&amp;vr=2.0&amp;CMD=KEY&amp;DocName=170Ak1840" TargetMode="External"/><Relationship Id="rId17" Type="http://schemas.openxmlformats.org/officeDocument/2006/relationships/hyperlink" Target="http://www.westlaw.com/Digest/Default.wl?rs=dfa1.0&amp;vr=2.0&amp;CMD=MCC&amp;DocName=170Ak1840" TargetMode="External"/><Relationship Id="rId18" Type="http://schemas.openxmlformats.org/officeDocument/2006/relationships/hyperlink" Target="http://www.westlaw.com/KeyNumber/Default.wl?rs=dfa1.0&amp;vr=2.0&amp;CMD=KEY&amp;DocName=170B" TargetMode="External"/><Relationship Id="rId19" Type="http://schemas.openxmlformats.org/officeDocument/2006/relationships/hyperlink" Target="http://www.westlaw.com/KeyNumber/Default.wl?rs=dfa1.0&amp;vr=2.0&amp;CMD=KEY&amp;DocName=170BVIII" TargetMode="External"/><Relationship Id="rId160" Type="http://schemas.openxmlformats.org/officeDocument/2006/relationships/hyperlink" Target="http://www.westlaw.com/Find/Default.wl?rs=dfa1.0&amp;vr=2.0&amp;DB=708&amp;FindType=Y&amp;ReferencePositionType=S&amp;SerialNum=2003915490&amp;ReferencePosition=794" TargetMode="External"/><Relationship Id="rId161" Type="http://schemas.openxmlformats.org/officeDocument/2006/relationships/hyperlink" Target="http://www.westlaw.com/Find/Default.wl?rs=dfa1.0&amp;vr=2.0&amp;DB=4637&amp;FindType=Y&amp;ReferencePositionType=S&amp;SerialNum=2018309587&amp;ReferencePosition=314" TargetMode="External"/><Relationship Id="rId162" Type="http://schemas.openxmlformats.org/officeDocument/2006/relationships/hyperlink" Target="http://www.westlaw.com/Find/Default.wl?rs=dfa1.0&amp;vr=2.0&amp;DB=4637&amp;FindType=Y&amp;ReferencePositionType=S&amp;SerialNum=2018309587&amp;ReferencePosition=314" TargetMode="External"/><Relationship Id="rId163" Type="http://schemas.openxmlformats.org/officeDocument/2006/relationships/hyperlink" Target="http://www.westlaw.com/Find/Default.wl?rs=dfa1.0&amp;vr=2.0&amp;DB=4637&amp;FindType=Y&amp;ReferencePositionType=S&amp;SerialNum=2019898265&amp;ReferencePosition=422" TargetMode="External"/><Relationship Id="rId164" Type="http://schemas.openxmlformats.org/officeDocument/2006/relationships/hyperlink" Target="http://www.westlaw.com/Find/Default.wl?rs=dfa1.0&amp;vr=2.0&amp;DB=4637&amp;FindType=Y&amp;ReferencePositionType=S&amp;SerialNum=2019898265&amp;ReferencePosition=422" TargetMode="External"/><Relationship Id="rId165" Type="http://schemas.openxmlformats.org/officeDocument/2006/relationships/hyperlink" Target="http://www.westlaw.com/Find/Default.wl?rs=dfa1.0&amp;vr=2.0&amp;DB=506&amp;FindType=Y&amp;ReferencePositionType=S&amp;SerialNum=2005251860&amp;ReferencePosition=234" TargetMode="External"/><Relationship Id="rId166" Type="http://schemas.openxmlformats.org/officeDocument/2006/relationships/hyperlink" Target="http://www.westlaw.com/Find/Default.wl?rs=dfa1.0&amp;vr=2.0&amp;DB=506&amp;FindType=Y&amp;ReferencePositionType=S&amp;SerialNum=2005251860&amp;ReferencePosition=234" TargetMode="External"/><Relationship Id="rId167" Type="http://schemas.openxmlformats.org/officeDocument/2006/relationships/hyperlink" Target="http://www.westlaw.com/Find/Default.wl?rs=dfa1.0&amp;vr=2.0&amp;FindType=Y&amp;SerialNum=2005251860" TargetMode="External"/><Relationship Id="rId168" Type="http://schemas.openxmlformats.org/officeDocument/2006/relationships/hyperlink" Target="http://www.westlaw.com/Find/Default.wl?rs=dfa1.0&amp;vr=2.0&amp;FindType=Y&amp;SerialNum=2005251860" TargetMode="External"/><Relationship Id="rId169" Type="http://schemas.openxmlformats.org/officeDocument/2006/relationships/hyperlink" Target="http://www.westlaw.com/Find/Default.wl?rs=dfa1.0&amp;vr=2.0&amp;FindType=Y&amp;SerialNum=2005251860" TargetMode="External"/><Relationship Id="rId220" Type="http://schemas.openxmlformats.org/officeDocument/2006/relationships/hyperlink" Target="http://www.westlaw.com/Find/Default.wl?rs=dfa1.0&amp;vr=2.0&amp;DB=0000999&amp;FindType=Y&amp;SerialNum=2014770152" TargetMode="External"/><Relationship Id="rId221" Type="http://schemas.openxmlformats.org/officeDocument/2006/relationships/hyperlink" Target="http://www.westlaw.com/Find/Default.wl?rs=dfa1.0&amp;vr=2.0&amp;DB=0000999&amp;FindType=Y&amp;SerialNum=2014770152" TargetMode="External"/><Relationship Id="rId222" Type="http://schemas.openxmlformats.org/officeDocument/2006/relationships/hyperlink" Target="http://www.westlaw.com/Find/Default.wl?rs=dfa1.0&amp;vr=2.0&amp;DB=4637&amp;FindType=Y&amp;ReferencePositionType=S&amp;SerialNum=2011888526&amp;ReferencePosition=317" TargetMode="External"/><Relationship Id="rId223" Type="http://schemas.openxmlformats.org/officeDocument/2006/relationships/hyperlink" Target="http://www.westlaw.com/Find/Default.wl?rs=dfa1.0&amp;vr=2.0&amp;DB=4637&amp;FindType=Y&amp;ReferencePositionType=S&amp;SerialNum=2011888526&amp;ReferencePosition=317" TargetMode="External"/><Relationship Id="rId224" Type="http://schemas.openxmlformats.org/officeDocument/2006/relationships/hyperlink" Target="http://www.westlaw.com/Find/Default.wl?rs=dfa1.0&amp;vr=2.0&amp;DB=506&amp;FindType=Y&amp;ReferencePositionType=S&amp;SerialNum=1996079411&amp;ReferencePosition=284" TargetMode="External"/><Relationship Id="rId225" Type="http://schemas.openxmlformats.org/officeDocument/2006/relationships/hyperlink" Target="http://www.westlaw.com/Find/Default.wl?rs=dfa1.0&amp;vr=2.0&amp;DB=506&amp;FindType=Y&amp;ReferencePositionType=S&amp;SerialNum=1996079411&amp;ReferencePosition=284" TargetMode="External"/><Relationship Id="rId226" Type="http://schemas.openxmlformats.org/officeDocument/2006/relationships/hyperlink" Target="http://www.westlaw.com/Find/Default.wl?rs=dfa1.0&amp;vr=2.0&amp;DB=0000999&amp;FindType=Y&amp;SerialNum=1993063494" TargetMode="External"/><Relationship Id="rId227" Type="http://schemas.openxmlformats.org/officeDocument/2006/relationships/hyperlink" Target="http://www.westlaw.com/Find/Default.wl?rs=dfa1.0&amp;vr=2.0&amp;DB=0000999&amp;FindType=Y&amp;SerialNum=1993063494" TargetMode="External"/><Relationship Id="rId228" Type="http://schemas.openxmlformats.org/officeDocument/2006/relationships/hyperlink" Target="http://www.westlaw.com/Find/Default.wl?rs=dfa1.0&amp;vr=2.0&amp;DB=1000546&amp;DocName=28USCAS1292&amp;FindType=L&amp;ReferencePositionType=T&amp;ReferencePosition=SP_a83b000018c76" TargetMode="External"/><Relationship Id="rId229" Type="http://schemas.openxmlformats.org/officeDocument/2006/relationships/hyperlink" Target="http://www.westlaw.com/Find/Default.wl?rs=dfa1.0&amp;vr=2.0&amp;DB=4637&amp;FindType=Y&amp;ReferencePositionType=S&amp;SerialNum=2001402281&amp;ReferencePosition=570" TargetMode="External"/><Relationship Id="rId390" Type="http://schemas.openxmlformats.org/officeDocument/2006/relationships/hyperlink" Target="http://www.westlaw.com/Find/Default.wl?rs=dfa1.0&amp;vr=2.0&amp;DB=506&amp;FindType=Y&amp;ReferencePositionType=S&amp;SerialNum=2002350044&amp;ReferencePosition=1007" TargetMode="External"/><Relationship Id="rId391" Type="http://schemas.openxmlformats.org/officeDocument/2006/relationships/hyperlink" Target="http://www.westlaw.com/Find/Default.wl?rs=dfa1.0&amp;vr=2.0&amp;DB=1000546&amp;DocName=18USCAS2333&amp;FindType=L" TargetMode="External"/><Relationship Id="rId392" Type="http://schemas.openxmlformats.org/officeDocument/2006/relationships/hyperlink" Target="http://www.westlaw.com/Find/Default.wl?rs=dfa1.0&amp;vr=2.0&amp;DB=1000546&amp;DocName=18USCAS2331&amp;FindType=L&amp;ReferencePositionType=T&amp;ReferencePosition=SP_f1c50000821b0" TargetMode="External"/><Relationship Id="rId393" Type="http://schemas.openxmlformats.org/officeDocument/2006/relationships/hyperlink" Target="http://www.westlaw.com/Find/Default.wl?rs=dfa1.0&amp;vr=2.0&amp;DB=1000546&amp;DocName=18USCAS2339A&amp;FindType=L" TargetMode="External"/><Relationship Id="rId394" Type="http://schemas.openxmlformats.org/officeDocument/2006/relationships/hyperlink" Target="http://www.westlaw.com/Find/Default.wl?rs=dfa1.0&amp;vr=2.0&amp;DB=1000546&amp;DocName=18USCAS2339B&amp;FindType=L" TargetMode="External"/><Relationship Id="rId395" Type="http://schemas.openxmlformats.org/officeDocument/2006/relationships/hyperlink" Target="http://www.westlaw.com/Find/Default.wl?rs=dfa1.0&amp;vr=2.0&amp;DB=1000546&amp;DocName=18USCAS2333&amp;FindType=L" TargetMode="External"/><Relationship Id="rId396" Type="http://schemas.openxmlformats.org/officeDocument/2006/relationships/hyperlink" Target="http://www.westlaw.com/Find/Default.wl?rs=dfa1.0&amp;vr=2.0&amp;DB=1000546&amp;DocName=18USCAS2331&amp;FindType=L" TargetMode="External"/><Relationship Id="rId397" Type="http://schemas.openxmlformats.org/officeDocument/2006/relationships/hyperlink" Target="http://www.westlaw.com/Find/Default.wl?rs=dfa1.0&amp;vr=2.0&amp;FindType=Y&amp;SerialNum=2002350044" TargetMode="External"/><Relationship Id="rId398" Type="http://schemas.openxmlformats.org/officeDocument/2006/relationships/hyperlink" Target="http://www.westlaw.com/Find/Default.wl?rs=dfa1.0&amp;vr=2.0&amp;FindType=Y&amp;SerialNum=2002350044" TargetMode="External"/><Relationship Id="rId399" Type="http://schemas.openxmlformats.org/officeDocument/2006/relationships/hyperlink" Target="http://www.westlaw.com/Find/Default.wl?rs=dfa1.0&amp;vr=2.0&amp;FindType=Y&amp;SerialNum=2017570303" TargetMode="External"/><Relationship Id="rId450" Type="http://schemas.openxmlformats.org/officeDocument/2006/relationships/hyperlink" Target="http://www.westlaw.com/Find/Default.wl?rs=dfa1.0&amp;vr=2.0&amp;DB=1000546&amp;DocName=28USCAS1605A&amp;FindType=L&amp;ReferencePositionType=T&amp;ReferencePosition=SP_8b3b0000958a4" TargetMode="External"/><Relationship Id="rId451" Type="http://schemas.openxmlformats.org/officeDocument/2006/relationships/hyperlink" Target="http://www.westlaw.com/Find/Default.wl?rs=dfa1.0&amp;vr=2.0&amp;DB=1000546&amp;DocName=28USCAS1605A&amp;FindType=L&amp;ReferencePositionType=T&amp;ReferencePosition=SP_f383000077b35" TargetMode="External"/><Relationship Id="rId452" Type="http://schemas.openxmlformats.org/officeDocument/2006/relationships/hyperlink" Target="http://www.westlaw.com/Find/Default.wl?rs=dfa1.0&amp;vr=2.0&amp;FindType=Y&amp;SerialNum=2017570303" TargetMode="External"/><Relationship Id="rId453" Type="http://schemas.openxmlformats.org/officeDocument/2006/relationships/hyperlink" Target="http://www.westlaw.com/Find/Default.wl?rs=dfa1.0&amp;vr=2.0&amp;FindType=Y&amp;SerialNum=2017570303" TargetMode="External"/><Relationship Id="rId454" Type="http://schemas.openxmlformats.org/officeDocument/2006/relationships/hyperlink" Target="http://www.westlaw.com/Find/Default.wl?rs=dfa1.0&amp;vr=2.0&amp;FindType=Y&amp;SerialNum=2017570303" TargetMode="External"/><Relationship Id="rId455" Type="http://schemas.openxmlformats.org/officeDocument/2006/relationships/hyperlink" Target="http://www.westlaw.com/Find/Default.wl?rs=dfa1.0&amp;vr=2.0&amp;FindType=Y&amp;SerialNum=2002350044" TargetMode="External"/><Relationship Id="rId456" Type="http://schemas.openxmlformats.org/officeDocument/2006/relationships/hyperlink" Target="http://www.westlaw.com/Find/Default.wl?rs=dfa1.0&amp;vr=2.0&amp;DB=1000546&amp;DocName=28USCAS1605&amp;FindType=L&amp;ReferencePositionType=T&amp;ReferencePosition=SP_36f10000408d4" TargetMode="External"/><Relationship Id="rId457" Type="http://schemas.openxmlformats.org/officeDocument/2006/relationships/hyperlink" Target="http://www.westlaw.com/Find/Default.wl?rs=dfa1.0&amp;vr=2.0&amp;DB=1000546&amp;DocName=18USCAS2333&amp;FindType=L&amp;ReferencePositionType=T&amp;ReferencePosition=SP_8b3b0000958a4" TargetMode="External"/><Relationship Id="rId458" Type="http://schemas.openxmlformats.org/officeDocument/2006/relationships/hyperlink" Target="http://www.westlaw.com/Find/Default.wl?rs=dfa1.0&amp;vr=2.0&amp;DB=506&amp;FindType=Y&amp;ReferencePositionType=S&amp;SerialNum=2002350044&amp;ReferencePosition=101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22</Pages>
  <Words>23369</Words>
  <Characters>133205</Characters>
  <Application>Microsoft Macintosh Word</Application>
  <DocSecurity>0</DocSecurity>
  <Lines>1110</Lines>
  <Paragraphs>312</Paragraphs>
  <ScaleCrop>false</ScaleCrop>
  <Company/>
  <LinksUpToDate>false</LinksUpToDate>
  <CharactersWithSpaces>156262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12.3.1.1.V2</dc:creator>
  <cp:keywords/>
  <dc:description/>
  <cp:lastModifiedBy>Suzanne Jasin</cp:lastModifiedBy>
  <cp:revision>2</cp:revision>
  <dcterms:created xsi:type="dcterms:W3CDTF">2014-08-28T19:50:00Z</dcterms:created>
  <dcterms:modified xsi:type="dcterms:W3CDTF">2014-08-28T19:50:00Z</dcterms:modified>
</cp:coreProperties>
</file>